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DF" w:rsidRPr="00D04444" w:rsidRDefault="00A924C7" w:rsidP="00EF5013">
      <w:pPr>
        <w:spacing w:after="0"/>
        <w:jc w:val="center"/>
        <w:rPr>
          <w:b/>
          <w:bCs/>
          <w:sz w:val="28"/>
          <w:szCs w:val="28"/>
        </w:rPr>
      </w:pPr>
      <w:r w:rsidRPr="00D04444">
        <w:rPr>
          <w:b/>
          <w:bCs/>
          <w:sz w:val="28"/>
          <w:szCs w:val="28"/>
        </w:rPr>
        <w:t>Dysménorrhées</w:t>
      </w:r>
    </w:p>
    <w:p w:rsidR="00A924C7" w:rsidRPr="00D04444" w:rsidRDefault="00A924C7" w:rsidP="00A924C7">
      <w:pPr>
        <w:jc w:val="center"/>
        <w:rPr>
          <w:b/>
          <w:bCs/>
          <w:sz w:val="24"/>
          <w:szCs w:val="24"/>
        </w:rPr>
      </w:pPr>
    </w:p>
    <w:p w:rsidR="00A924C7" w:rsidRPr="00D04444" w:rsidRDefault="00A924C7" w:rsidP="00D04444">
      <w:pPr>
        <w:spacing w:after="0"/>
        <w:rPr>
          <w:b/>
          <w:bCs/>
          <w:sz w:val="24"/>
          <w:szCs w:val="24"/>
        </w:rPr>
      </w:pPr>
      <w:r w:rsidRPr="00D04444">
        <w:rPr>
          <w:b/>
          <w:bCs/>
          <w:sz w:val="24"/>
          <w:szCs w:val="24"/>
        </w:rPr>
        <w:t>Définition</w:t>
      </w:r>
    </w:p>
    <w:p w:rsidR="00A924C7" w:rsidRPr="00D04444" w:rsidRDefault="00A924C7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 xml:space="preserve">Les </w:t>
      </w:r>
      <w:r w:rsidRPr="00D04444">
        <w:rPr>
          <w:rFonts w:cs="BaskervilleBE-Medium"/>
          <w:sz w:val="24"/>
          <w:szCs w:val="24"/>
        </w:rPr>
        <w:t>dysménorrhées</w:t>
      </w:r>
      <w:r w:rsidRPr="00D04444">
        <w:rPr>
          <w:rFonts w:cs="BaskervilleBE-Regular"/>
          <w:sz w:val="24"/>
          <w:szCs w:val="24"/>
        </w:rPr>
        <w:t xml:space="preserve"> sont des douleurs </w:t>
      </w:r>
      <w:r w:rsidRPr="00D04444">
        <w:rPr>
          <w:rFonts w:cs="BaskervilleBE-Medium"/>
          <w:sz w:val="24"/>
          <w:szCs w:val="24"/>
        </w:rPr>
        <w:t>abdomino-pelviennes</w:t>
      </w:r>
      <w:r w:rsidRPr="00D04444">
        <w:rPr>
          <w:rFonts w:cs="BaskervilleBE-Regular"/>
          <w:sz w:val="24"/>
          <w:szCs w:val="24"/>
        </w:rPr>
        <w:t xml:space="preserve"> </w:t>
      </w:r>
      <w:r w:rsidRPr="00D04444">
        <w:rPr>
          <w:rFonts w:cs="BaskervilleBE-Medium"/>
          <w:sz w:val="24"/>
          <w:szCs w:val="24"/>
        </w:rPr>
        <w:t>cycliques, rythmées par les règles</w:t>
      </w:r>
      <w:r w:rsidRPr="00D04444">
        <w:rPr>
          <w:rFonts w:cs="BaskervilleBE-Regular"/>
          <w:sz w:val="24"/>
          <w:szCs w:val="24"/>
        </w:rPr>
        <w:t xml:space="preserve">, survenant juste </w:t>
      </w:r>
      <w:r w:rsidRPr="00D04444">
        <w:rPr>
          <w:rFonts w:cs="BaskervilleBE-Medium"/>
          <w:sz w:val="24"/>
          <w:szCs w:val="24"/>
        </w:rPr>
        <w:t>avant</w:t>
      </w:r>
      <w:r w:rsidRPr="00D04444">
        <w:rPr>
          <w:rFonts w:cs="BaskervilleBE-Regular"/>
          <w:sz w:val="24"/>
          <w:szCs w:val="24"/>
        </w:rPr>
        <w:t xml:space="preserve"> leur début, durant le plus souvent un jour ou deux, parfois jusqu’</w:t>
      </w:r>
      <w:r w:rsidRPr="00D04444">
        <w:rPr>
          <w:rFonts w:cs="BaskervilleBE-Medium"/>
          <w:sz w:val="24"/>
          <w:szCs w:val="24"/>
        </w:rPr>
        <w:t>après</w:t>
      </w:r>
      <w:r w:rsidRPr="00D04444">
        <w:rPr>
          <w:rFonts w:cs="BaskervilleBE-Regular"/>
          <w:sz w:val="24"/>
          <w:szCs w:val="24"/>
        </w:rPr>
        <w:t xml:space="preserve"> les règles, et allant alors en crescendo.</w:t>
      </w:r>
    </w:p>
    <w:p w:rsidR="00A924C7" w:rsidRPr="00D04444" w:rsidRDefault="00A924C7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 xml:space="preserve">Ces souffrances, très variables d’intensité, allant de la simple gêne à la douleur paroxystique aiguë, sont spécifiques de </w:t>
      </w:r>
      <w:r w:rsidRPr="00D04444">
        <w:rPr>
          <w:rFonts w:cs="BaskervilleBE-Medium"/>
          <w:sz w:val="24"/>
          <w:szCs w:val="24"/>
        </w:rPr>
        <w:t>l’apparition du</w:t>
      </w:r>
      <w:r w:rsidRPr="00D04444">
        <w:rPr>
          <w:rFonts w:cs="BaskervilleBE-Regular"/>
          <w:sz w:val="24"/>
          <w:szCs w:val="24"/>
        </w:rPr>
        <w:t xml:space="preserve"> </w:t>
      </w:r>
      <w:r w:rsidRPr="00D04444">
        <w:rPr>
          <w:rFonts w:cs="BaskervilleBE-Medium"/>
          <w:sz w:val="24"/>
          <w:szCs w:val="24"/>
        </w:rPr>
        <w:t>flux menstruel</w:t>
      </w:r>
      <w:r w:rsidRPr="00D04444">
        <w:rPr>
          <w:rFonts w:cs="BaskervilleBE-Regular"/>
          <w:sz w:val="24"/>
          <w:szCs w:val="24"/>
        </w:rPr>
        <w:t>.</w:t>
      </w:r>
    </w:p>
    <w:p w:rsidR="00601D85" w:rsidRPr="00D04444" w:rsidRDefault="00601D85" w:rsidP="00D04444">
      <w:pPr>
        <w:spacing w:after="0"/>
        <w:jc w:val="both"/>
        <w:textAlignment w:val="baseline"/>
        <w:rPr>
          <w:rFonts w:eastAsia="Times New Roman" w:cs="Arial"/>
          <w:color w:val="2C2C2C"/>
          <w:sz w:val="24"/>
          <w:szCs w:val="24"/>
          <w:lang w:eastAsia="fr-FR"/>
        </w:rPr>
      </w:pPr>
      <w:r w:rsidRPr="00D04444">
        <w:rPr>
          <w:rFonts w:eastAsia="Times New Roman" w:cs="Arial"/>
          <w:color w:val="2C2C2C"/>
          <w:sz w:val="24"/>
          <w:szCs w:val="24"/>
          <w:lang w:eastAsia="fr-FR"/>
        </w:rPr>
        <w:t>Il s'agit d'une pathologie fréquente qui touche avec plus ou moins d'intensité 30 à 50 % des femmes en période d'activité génitale.</w:t>
      </w:r>
    </w:p>
    <w:p w:rsidR="00601D85" w:rsidRPr="00D04444" w:rsidRDefault="00601D85" w:rsidP="00A924C7">
      <w:pPr>
        <w:autoSpaceDE w:val="0"/>
        <w:autoSpaceDN w:val="0"/>
        <w:adjustRightInd w:val="0"/>
        <w:spacing w:after="0" w:line="240" w:lineRule="auto"/>
        <w:rPr>
          <w:rFonts w:cs="BaskervilleBE-Regular"/>
          <w:sz w:val="24"/>
          <w:szCs w:val="24"/>
        </w:rPr>
      </w:pPr>
    </w:p>
    <w:p w:rsidR="000A10A9" w:rsidRPr="00D04444" w:rsidRDefault="000A10A9" w:rsidP="00D04444">
      <w:pPr>
        <w:autoSpaceDE w:val="0"/>
        <w:autoSpaceDN w:val="0"/>
        <w:adjustRightInd w:val="0"/>
        <w:spacing w:after="0"/>
        <w:rPr>
          <w:rFonts w:cs="BaskervilleBE-Regular"/>
          <w:b/>
          <w:bCs/>
          <w:sz w:val="24"/>
          <w:szCs w:val="24"/>
        </w:rPr>
      </w:pPr>
      <w:r w:rsidRPr="00D04444">
        <w:rPr>
          <w:rFonts w:cs="BaskervilleBE-Regular"/>
          <w:b/>
          <w:bCs/>
          <w:sz w:val="24"/>
          <w:szCs w:val="24"/>
        </w:rPr>
        <w:t>Epidémiologie</w:t>
      </w:r>
      <w:r w:rsidR="00F12206" w:rsidRPr="00D04444">
        <w:rPr>
          <w:rFonts w:cs="BaskervilleBE-Regular"/>
          <w:b/>
          <w:bCs/>
          <w:sz w:val="24"/>
          <w:szCs w:val="24"/>
        </w:rPr>
        <w:t xml:space="preserve"> et facteurs de risque</w:t>
      </w:r>
    </w:p>
    <w:p w:rsidR="00F54F26" w:rsidRPr="00D04444" w:rsidRDefault="000A10A9" w:rsidP="00D044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D04444">
        <w:rPr>
          <w:rFonts w:cs="Frutiger-Bold"/>
          <w:b/>
          <w:bCs/>
          <w:sz w:val="24"/>
          <w:szCs w:val="24"/>
        </w:rPr>
        <w:t>L’adolescente et les dysménorrhées</w:t>
      </w:r>
    </w:p>
    <w:p w:rsidR="000A10A9" w:rsidRPr="00D04444" w:rsidRDefault="000A10A9" w:rsidP="006B7678">
      <w:p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50 à 70 % des adolescentes ont une dysménorrhée permanente ou</w:t>
      </w:r>
      <w:r w:rsidRPr="00D04444">
        <w:rPr>
          <w:rFonts w:cs="Frutiger-Bold"/>
          <w:b/>
          <w:bCs/>
          <w:sz w:val="24"/>
          <w:szCs w:val="24"/>
        </w:rPr>
        <w:t xml:space="preserve"> </w:t>
      </w:r>
      <w:r w:rsidRPr="00D04444">
        <w:rPr>
          <w:rFonts w:cs="BaskervilleBE-Regular"/>
          <w:sz w:val="24"/>
          <w:szCs w:val="24"/>
        </w:rPr>
        <w:t>occasionnelle.</w:t>
      </w:r>
    </w:p>
    <w:p w:rsidR="000A10A9" w:rsidRPr="006B7678" w:rsidRDefault="006B7678" w:rsidP="006B767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6B7678">
        <w:rPr>
          <w:rFonts w:cs="BaskervilleBE-Regular"/>
          <w:sz w:val="24"/>
          <w:szCs w:val="24"/>
        </w:rPr>
        <w:t xml:space="preserve">Cette </w:t>
      </w:r>
      <w:r w:rsidRPr="006B7678">
        <w:rPr>
          <w:rFonts w:cs="BaskervilleBE-Medium"/>
          <w:sz w:val="24"/>
          <w:szCs w:val="24"/>
        </w:rPr>
        <w:t xml:space="preserve">dysménorrhée </w:t>
      </w:r>
      <w:r>
        <w:rPr>
          <w:rFonts w:cs="BaskervilleBE-Regular"/>
          <w:sz w:val="24"/>
          <w:szCs w:val="24"/>
        </w:rPr>
        <w:t>p</w:t>
      </w:r>
      <w:r w:rsidR="000A10A9" w:rsidRPr="006B7678">
        <w:rPr>
          <w:rFonts w:cs="BaskervilleBE-Medium"/>
          <w:sz w:val="24"/>
          <w:szCs w:val="24"/>
        </w:rPr>
        <w:t>rimaire</w:t>
      </w:r>
      <w:r w:rsidRPr="006B7678">
        <w:rPr>
          <w:rFonts w:cs="BaskervilleBE-Regular"/>
          <w:sz w:val="24"/>
          <w:szCs w:val="24"/>
        </w:rPr>
        <w:t xml:space="preserve">, </w:t>
      </w:r>
      <w:r w:rsidR="000A10A9" w:rsidRPr="006B7678">
        <w:rPr>
          <w:rFonts w:cs="BaskervilleBE-Regular"/>
          <w:sz w:val="24"/>
          <w:szCs w:val="24"/>
        </w:rPr>
        <w:t>s’installe progressivement au cours des deux années suivant la ménarche,</w:t>
      </w:r>
      <w:r>
        <w:rPr>
          <w:rFonts w:cs="BaskervilleBE-Regular"/>
          <w:sz w:val="24"/>
          <w:szCs w:val="24"/>
        </w:rPr>
        <w:t xml:space="preserve"> et</w:t>
      </w:r>
      <w:r w:rsidR="000A10A9" w:rsidRPr="006B7678">
        <w:rPr>
          <w:rFonts w:cs="BaskervilleBE-Regular"/>
          <w:sz w:val="24"/>
          <w:szCs w:val="24"/>
        </w:rPr>
        <w:t xml:space="preserve"> est </w:t>
      </w:r>
      <w:r w:rsidR="000A10A9" w:rsidRPr="006B7678">
        <w:rPr>
          <w:rFonts w:cs="BaskervilleBE-Medium"/>
          <w:sz w:val="24"/>
          <w:szCs w:val="24"/>
        </w:rPr>
        <w:t>presque toujours</w:t>
      </w:r>
      <w:r w:rsidR="000A10A9" w:rsidRPr="006B7678">
        <w:rPr>
          <w:rFonts w:cs="BaskervilleBE-Regular"/>
          <w:sz w:val="24"/>
          <w:szCs w:val="24"/>
        </w:rPr>
        <w:t xml:space="preserve"> </w:t>
      </w:r>
      <w:r w:rsidR="000A10A9" w:rsidRPr="006B7678">
        <w:rPr>
          <w:rFonts w:cs="BaskervilleBE-Medium"/>
          <w:sz w:val="24"/>
          <w:szCs w:val="24"/>
        </w:rPr>
        <w:t>essentielle ou fonctionnelle</w:t>
      </w:r>
      <w:r w:rsidR="000A10A9" w:rsidRPr="006B7678">
        <w:rPr>
          <w:rFonts w:cs="BaskervilleBE-Regular"/>
          <w:sz w:val="24"/>
          <w:szCs w:val="24"/>
        </w:rPr>
        <w:t>.</w:t>
      </w:r>
    </w:p>
    <w:p w:rsidR="00F54F26" w:rsidRPr="00D04444" w:rsidRDefault="00F54F26" w:rsidP="00D044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BaskervilleBE-Medium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 xml:space="preserve">Une </w:t>
      </w:r>
      <w:r w:rsidRPr="00D04444">
        <w:rPr>
          <w:rFonts w:cs="BaskervilleBE-Medium"/>
          <w:sz w:val="24"/>
          <w:szCs w:val="24"/>
        </w:rPr>
        <w:t>dysménorrhée primaire, intense</w:t>
      </w:r>
      <w:r w:rsidRPr="00D04444">
        <w:rPr>
          <w:rFonts w:cs="BaskervilleBE-Regular"/>
          <w:sz w:val="24"/>
          <w:szCs w:val="24"/>
        </w:rPr>
        <w:t xml:space="preserve">, qui va en </w:t>
      </w:r>
      <w:r w:rsidRPr="00D04444">
        <w:rPr>
          <w:rFonts w:cs="BaskervilleBE-Medium"/>
          <w:sz w:val="24"/>
          <w:szCs w:val="24"/>
        </w:rPr>
        <w:t>s’accroissant à chaque menstruation</w:t>
      </w:r>
      <w:r w:rsidRPr="00D04444">
        <w:rPr>
          <w:rFonts w:cs="BaskervilleBE-Regular"/>
          <w:sz w:val="24"/>
          <w:szCs w:val="24"/>
        </w:rPr>
        <w:t>,</w:t>
      </w:r>
      <w:r w:rsidR="00F12206" w:rsidRPr="00D04444">
        <w:rPr>
          <w:rFonts w:cs="BaskervilleBE-Regular"/>
          <w:sz w:val="24"/>
          <w:szCs w:val="24"/>
        </w:rPr>
        <w:t xml:space="preserve"> doit fai</w:t>
      </w:r>
      <w:r w:rsidRPr="00D04444">
        <w:rPr>
          <w:rFonts w:cs="BaskervilleBE-Regular"/>
          <w:sz w:val="24"/>
          <w:szCs w:val="24"/>
        </w:rPr>
        <w:t xml:space="preserve">re redouter une </w:t>
      </w:r>
      <w:r w:rsidRPr="00D04444">
        <w:rPr>
          <w:rFonts w:cs="BaskervilleBE-Medium"/>
          <w:sz w:val="24"/>
          <w:szCs w:val="24"/>
        </w:rPr>
        <w:t>malformation utéro-vaginale.</w:t>
      </w:r>
    </w:p>
    <w:p w:rsidR="00C02B25" w:rsidRPr="00D04444" w:rsidRDefault="00C02B25" w:rsidP="00D044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D04444">
        <w:rPr>
          <w:rFonts w:cs="Frutiger-Bold"/>
          <w:b/>
          <w:bCs/>
          <w:sz w:val="24"/>
          <w:szCs w:val="24"/>
        </w:rPr>
        <w:t>La Femme et les dysménorrhées</w:t>
      </w:r>
    </w:p>
    <w:p w:rsidR="00F54F26" w:rsidRPr="00D04444" w:rsidRDefault="00C02B25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La dysménorrhée peut apparaître, ou réapparaître chez la femme après 20-25 ans</w:t>
      </w:r>
      <w:r w:rsidR="00F54F26" w:rsidRPr="00D04444">
        <w:rPr>
          <w:rFonts w:cs="BaskervilleBE-Regular"/>
          <w:sz w:val="24"/>
          <w:szCs w:val="24"/>
        </w:rPr>
        <w:t>.</w:t>
      </w:r>
    </w:p>
    <w:p w:rsidR="00F54F26" w:rsidRPr="00D04444" w:rsidRDefault="00C02B25" w:rsidP="00D044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Une dysménorrhée réapparue après quelques années de contraception oestroprogestative maintenant arrêtée, est considérée comme une dysménorrhée primaire</w:t>
      </w:r>
      <w:r w:rsidR="006B7678">
        <w:rPr>
          <w:rFonts w:cs="BaskervilleBE-Regular"/>
          <w:sz w:val="24"/>
          <w:szCs w:val="24"/>
        </w:rPr>
        <w:t>.</w:t>
      </w:r>
      <w:r w:rsidRPr="00D04444">
        <w:rPr>
          <w:rFonts w:cs="BaskervilleBE-Regular"/>
          <w:sz w:val="24"/>
          <w:szCs w:val="24"/>
        </w:rPr>
        <w:t xml:space="preserve"> </w:t>
      </w:r>
    </w:p>
    <w:p w:rsidR="00A56B3A" w:rsidRPr="00D04444" w:rsidRDefault="00C02B25" w:rsidP="00D044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BaskervilleBE-Regular"/>
          <w:b/>
          <w:bCs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L’apparition soudaine</w:t>
      </w:r>
      <w:r w:rsidR="00F54F26" w:rsidRPr="00D04444">
        <w:rPr>
          <w:rFonts w:cs="BaskervilleBE-Regular"/>
          <w:sz w:val="24"/>
          <w:szCs w:val="24"/>
        </w:rPr>
        <w:t xml:space="preserve"> </w:t>
      </w:r>
      <w:r w:rsidRPr="00D04444">
        <w:rPr>
          <w:rFonts w:cs="BaskervilleBE-Regular"/>
          <w:sz w:val="24"/>
          <w:szCs w:val="24"/>
        </w:rPr>
        <w:t>d’une dysménorrhée secondaire, doit</w:t>
      </w:r>
      <w:r w:rsidR="00F54F26" w:rsidRPr="00D04444">
        <w:rPr>
          <w:rFonts w:cs="BaskervilleBE-Regular"/>
          <w:sz w:val="24"/>
          <w:szCs w:val="24"/>
        </w:rPr>
        <w:t xml:space="preserve"> </w:t>
      </w:r>
      <w:r w:rsidRPr="00D04444">
        <w:rPr>
          <w:rFonts w:cs="BaskervilleBE-Regular"/>
          <w:sz w:val="24"/>
          <w:szCs w:val="24"/>
        </w:rPr>
        <w:t xml:space="preserve">faire évoquer </w:t>
      </w:r>
      <w:r w:rsidR="006B7678">
        <w:rPr>
          <w:rFonts w:cs="BaskervilleBE-Regular"/>
          <w:sz w:val="24"/>
          <w:szCs w:val="24"/>
        </w:rPr>
        <w:t>pathologie gynécologique (</w:t>
      </w:r>
      <w:r w:rsidRPr="00D04444">
        <w:rPr>
          <w:rFonts w:cs="BaskervilleBE-Medium"/>
          <w:sz w:val="24"/>
          <w:szCs w:val="24"/>
        </w:rPr>
        <w:t>endométriose</w:t>
      </w:r>
      <w:r w:rsidR="006B7678">
        <w:rPr>
          <w:rFonts w:cs="BaskervilleBE-Medium"/>
          <w:sz w:val="24"/>
          <w:szCs w:val="24"/>
        </w:rPr>
        <w:t xml:space="preserve">, </w:t>
      </w:r>
      <w:proofErr w:type="spellStart"/>
      <w:r w:rsidRPr="00D04444">
        <w:rPr>
          <w:rFonts w:cs="BaskervilleBE-Medium"/>
          <w:sz w:val="24"/>
          <w:szCs w:val="24"/>
        </w:rPr>
        <w:t>adénomyose</w:t>
      </w:r>
      <w:proofErr w:type="spellEnd"/>
      <w:r w:rsidR="00F12206" w:rsidRPr="00D04444">
        <w:rPr>
          <w:rFonts w:cs="BaskervilleBE-Regular"/>
          <w:sz w:val="24"/>
          <w:szCs w:val="24"/>
        </w:rPr>
        <w:t xml:space="preserve">, </w:t>
      </w:r>
      <w:r w:rsidR="00F12206" w:rsidRPr="00D04444">
        <w:rPr>
          <w:rFonts w:eastAsia="Times New Roman" w:cs="Arial"/>
          <w:color w:val="2C2C2C"/>
          <w:sz w:val="24"/>
          <w:szCs w:val="24"/>
          <w:lang w:eastAsia="fr-FR"/>
        </w:rPr>
        <w:t xml:space="preserve">infections génitales chroniques </w:t>
      </w:r>
      <w:r w:rsidR="006B7678">
        <w:rPr>
          <w:rFonts w:eastAsia="Times New Roman" w:cs="Arial"/>
          <w:color w:val="2C2C2C"/>
          <w:sz w:val="24"/>
          <w:szCs w:val="24"/>
          <w:lang w:eastAsia="fr-FR"/>
        </w:rPr>
        <w:t xml:space="preserve">ou </w:t>
      </w:r>
      <w:r w:rsidR="00A56B3A" w:rsidRPr="00D04444">
        <w:rPr>
          <w:rFonts w:eastAsia="Times New Roman" w:cs="Arial"/>
          <w:color w:val="2C2C2C"/>
          <w:sz w:val="24"/>
          <w:szCs w:val="24"/>
          <w:lang w:eastAsia="fr-FR"/>
        </w:rPr>
        <w:t xml:space="preserve"> </w:t>
      </w:r>
      <w:r w:rsidR="00F12206" w:rsidRPr="00D04444">
        <w:rPr>
          <w:rFonts w:eastAsia="Times New Roman" w:cs="Arial"/>
          <w:color w:val="2C2C2C"/>
          <w:sz w:val="24"/>
          <w:szCs w:val="24"/>
          <w:lang w:eastAsia="fr-FR"/>
        </w:rPr>
        <w:t xml:space="preserve">lésions tubaires </w:t>
      </w:r>
      <w:r w:rsidR="00A56B3A" w:rsidRPr="00D04444">
        <w:rPr>
          <w:rFonts w:eastAsia="Times New Roman" w:cs="Arial"/>
          <w:color w:val="2C2C2C"/>
          <w:sz w:val="24"/>
          <w:szCs w:val="24"/>
          <w:lang w:eastAsia="fr-FR"/>
        </w:rPr>
        <w:t>ou ovariennes</w:t>
      </w:r>
      <w:r w:rsidR="006B7678">
        <w:rPr>
          <w:rFonts w:eastAsia="Times New Roman" w:cs="Arial"/>
          <w:color w:val="2C2C2C"/>
          <w:sz w:val="24"/>
          <w:szCs w:val="24"/>
          <w:lang w:eastAsia="fr-FR"/>
        </w:rPr>
        <w:t>)</w:t>
      </w:r>
      <w:r w:rsidR="00A56B3A" w:rsidRPr="00D04444">
        <w:rPr>
          <w:rFonts w:eastAsia="Times New Roman" w:cs="Arial"/>
          <w:color w:val="2C2C2C"/>
          <w:sz w:val="24"/>
          <w:szCs w:val="24"/>
          <w:lang w:eastAsia="fr-FR"/>
        </w:rPr>
        <w:t>.</w:t>
      </w:r>
    </w:p>
    <w:p w:rsidR="00D04444" w:rsidRPr="00D04444" w:rsidRDefault="00D04444" w:rsidP="00D04444">
      <w:pPr>
        <w:pStyle w:val="Paragraphedeliste"/>
        <w:autoSpaceDE w:val="0"/>
        <w:autoSpaceDN w:val="0"/>
        <w:adjustRightInd w:val="0"/>
        <w:spacing w:after="0"/>
        <w:jc w:val="both"/>
        <w:rPr>
          <w:rFonts w:cs="BaskervilleBE-Regular"/>
          <w:b/>
          <w:bCs/>
          <w:sz w:val="24"/>
          <w:szCs w:val="24"/>
        </w:rPr>
      </w:pPr>
    </w:p>
    <w:p w:rsidR="00392416" w:rsidRPr="00392416" w:rsidRDefault="00F54F26" w:rsidP="00392416">
      <w:pPr>
        <w:autoSpaceDE w:val="0"/>
        <w:autoSpaceDN w:val="0"/>
        <w:adjustRightInd w:val="0"/>
        <w:spacing w:after="0"/>
        <w:jc w:val="both"/>
        <w:rPr>
          <w:rFonts w:cs="BaskervilleBE-Regular"/>
          <w:b/>
          <w:bCs/>
          <w:sz w:val="24"/>
          <w:szCs w:val="24"/>
        </w:rPr>
      </w:pPr>
      <w:r w:rsidRPr="00D04444">
        <w:rPr>
          <w:rFonts w:cs="BaskervilleBE-Regular"/>
          <w:b/>
          <w:bCs/>
          <w:sz w:val="24"/>
          <w:szCs w:val="24"/>
        </w:rPr>
        <w:t>Physiopathologie</w:t>
      </w:r>
    </w:p>
    <w:p w:rsidR="009B4F40" w:rsidRDefault="00F54F26" w:rsidP="009B4F40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L</w:t>
      </w:r>
      <w:r w:rsidR="009B4F40">
        <w:rPr>
          <w:rFonts w:cs="BaskervilleBE-Regular"/>
          <w:sz w:val="24"/>
          <w:szCs w:val="24"/>
        </w:rPr>
        <w:t>e mécanisme physiopathologique de l</w:t>
      </w:r>
      <w:r w:rsidRPr="00D04444">
        <w:rPr>
          <w:rFonts w:cs="BaskervilleBE-Regular"/>
          <w:sz w:val="24"/>
          <w:szCs w:val="24"/>
        </w:rPr>
        <w:t>a douleur menstruelle est</w:t>
      </w:r>
      <w:r w:rsidR="00392416">
        <w:rPr>
          <w:rFonts w:cs="BaskervilleBE-Regular"/>
          <w:sz w:val="24"/>
          <w:szCs w:val="24"/>
        </w:rPr>
        <w:t xml:space="preserve"> </w:t>
      </w:r>
      <w:r w:rsidR="00392416" w:rsidRPr="00D04444">
        <w:rPr>
          <w:rFonts w:cs="BaskervilleBE-Regular"/>
          <w:sz w:val="24"/>
          <w:szCs w:val="24"/>
        </w:rPr>
        <w:t xml:space="preserve">une </w:t>
      </w:r>
      <w:r w:rsidR="00392416" w:rsidRPr="00D04444">
        <w:rPr>
          <w:rFonts w:cs="BaskervilleBE-Medium"/>
          <w:sz w:val="24"/>
          <w:szCs w:val="24"/>
        </w:rPr>
        <w:t>hypoxie tissulaire</w:t>
      </w:r>
      <w:r w:rsidR="00392416">
        <w:rPr>
          <w:rFonts w:cs="BaskervilleBE-Medium"/>
          <w:sz w:val="24"/>
          <w:szCs w:val="24"/>
        </w:rPr>
        <w:t xml:space="preserve"> </w:t>
      </w:r>
      <w:r w:rsidR="00392416" w:rsidRPr="00D04444">
        <w:rPr>
          <w:rFonts w:cs="BaskervilleBE-Regular"/>
          <w:sz w:val="24"/>
          <w:szCs w:val="24"/>
        </w:rPr>
        <w:t>consécutive à</w:t>
      </w:r>
      <w:r w:rsidR="009B4F40">
        <w:rPr>
          <w:rFonts w:cs="BaskervilleBE-Regular"/>
          <w:sz w:val="24"/>
          <w:szCs w:val="24"/>
        </w:rPr>
        <w:t xml:space="preserve">: </w:t>
      </w:r>
      <w:r w:rsidRPr="00D04444">
        <w:rPr>
          <w:rFonts w:cs="BaskervilleBE-Regular"/>
          <w:sz w:val="24"/>
          <w:szCs w:val="24"/>
        </w:rPr>
        <w:t xml:space="preserve"> </w:t>
      </w:r>
    </w:p>
    <w:p w:rsidR="00392416" w:rsidRPr="00392416" w:rsidRDefault="009B4F40" w:rsidP="009B4F40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BaskervilleBE-Medium"/>
          <w:sz w:val="24"/>
          <w:szCs w:val="24"/>
        </w:rPr>
      </w:pPr>
      <w:r>
        <w:rPr>
          <w:rFonts w:cs="BaskervilleBE-Medium"/>
          <w:sz w:val="24"/>
          <w:szCs w:val="24"/>
        </w:rPr>
        <w:t xml:space="preserve">une </w:t>
      </w:r>
      <w:r w:rsidR="00F54F26" w:rsidRPr="009B4F40">
        <w:rPr>
          <w:rFonts w:cs="BaskervilleBE-Medium"/>
          <w:sz w:val="24"/>
          <w:szCs w:val="24"/>
        </w:rPr>
        <w:t xml:space="preserve">hypercontractilité du </w:t>
      </w:r>
      <w:proofErr w:type="spellStart"/>
      <w:r w:rsidR="00F54F26" w:rsidRPr="009B4F40">
        <w:rPr>
          <w:rFonts w:cs="BaskervilleBE-Medium"/>
          <w:sz w:val="24"/>
          <w:szCs w:val="24"/>
        </w:rPr>
        <w:t>myomètre</w:t>
      </w:r>
      <w:proofErr w:type="spellEnd"/>
      <w:r>
        <w:rPr>
          <w:rFonts w:cs="BaskervilleBE-Medium"/>
          <w:sz w:val="24"/>
          <w:szCs w:val="24"/>
        </w:rPr>
        <w:t xml:space="preserve"> qui</w:t>
      </w:r>
      <w:r w:rsidR="00F54F26" w:rsidRPr="009B4F40">
        <w:rPr>
          <w:rFonts w:cs="BaskervilleBE-Medium"/>
          <w:sz w:val="24"/>
          <w:szCs w:val="24"/>
        </w:rPr>
        <w:t xml:space="preserve"> </w:t>
      </w:r>
      <w:r w:rsidR="00F54F26" w:rsidRPr="009B4F40">
        <w:rPr>
          <w:rFonts w:cs="BaskervilleBE-Regular"/>
          <w:sz w:val="24"/>
          <w:szCs w:val="24"/>
        </w:rPr>
        <w:t xml:space="preserve">est le </w:t>
      </w:r>
      <w:r w:rsidR="00F54F26" w:rsidRPr="009B4F40">
        <w:rPr>
          <w:rFonts w:cs="BaskervilleBE-Medium"/>
          <w:sz w:val="24"/>
          <w:szCs w:val="24"/>
        </w:rPr>
        <w:t>phénomène essentiel</w:t>
      </w:r>
      <w:r w:rsidR="00392416">
        <w:rPr>
          <w:rFonts w:cs="BaskervilleBE-Regular"/>
          <w:sz w:val="24"/>
          <w:szCs w:val="24"/>
        </w:rPr>
        <w:t>;</w:t>
      </w:r>
    </w:p>
    <w:p w:rsidR="00F54F26" w:rsidRPr="00392416" w:rsidRDefault="00392416" w:rsidP="00392416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BaskervilleBE-Medium"/>
          <w:sz w:val="24"/>
          <w:szCs w:val="24"/>
        </w:rPr>
      </w:pPr>
      <w:r>
        <w:rPr>
          <w:rFonts w:cs="BaskervilleBE-Regular"/>
          <w:sz w:val="24"/>
          <w:szCs w:val="24"/>
        </w:rPr>
        <w:t xml:space="preserve"> elle est conséquente à une </w:t>
      </w:r>
      <w:r w:rsidRPr="00D04444">
        <w:rPr>
          <w:rFonts w:cs="BaskervilleBE-Medium"/>
          <w:sz w:val="24"/>
          <w:szCs w:val="24"/>
        </w:rPr>
        <w:t xml:space="preserve">hypersécrétion endométriale </w:t>
      </w:r>
      <w:r w:rsidRPr="00D04444">
        <w:rPr>
          <w:rFonts w:cs="BaskervilleBE-Regular"/>
          <w:sz w:val="24"/>
          <w:szCs w:val="24"/>
        </w:rPr>
        <w:t>de prostaglandine</w:t>
      </w:r>
      <w:r>
        <w:rPr>
          <w:rFonts w:cs="BaskervilleBE-Regular"/>
          <w:sz w:val="24"/>
          <w:szCs w:val="24"/>
        </w:rPr>
        <w:t>s (</w:t>
      </w:r>
      <w:r w:rsidRPr="00D04444">
        <w:rPr>
          <w:rFonts w:cs="BaskervilleBE-Regular"/>
          <w:sz w:val="24"/>
          <w:szCs w:val="24"/>
        </w:rPr>
        <w:t>PgF2</w:t>
      </w:r>
      <w:r w:rsidRPr="00D04444">
        <w:rPr>
          <w:rFonts w:cs="Symbol"/>
          <w:sz w:val="24"/>
          <w:szCs w:val="24"/>
        </w:rPr>
        <w:t xml:space="preserve">α </w:t>
      </w:r>
      <w:r>
        <w:rPr>
          <w:rFonts w:cs="Symbol"/>
          <w:sz w:val="24"/>
          <w:szCs w:val="24"/>
        </w:rPr>
        <w:t xml:space="preserve">qui </w:t>
      </w:r>
      <w:r w:rsidRPr="00D04444">
        <w:rPr>
          <w:rFonts w:cs="BaskervilleBE-Regular"/>
          <w:sz w:val="24"/>
          <w:szCs w:val="24"/>
        </w:rPr>
        <w:t xml:space="preserve">est </w:t>
      </w:r>
      <w:proofErr w:type="spellStart"/>
      <w:r w:rsidRPr="00D04444">
        <w:rPr>
          <w:rFonts w:cs="BaskervilleBE-Regular"/>
          <w:sz w:val="24"/>
          <w:szCs w:val="24"/>
        </w:rPr>
        <w:t>utérotonique</w:t>
      </w:r>
      <w:proofErr w:type="spellEnd"/>
      <w:r w:rsidRPr="00D04444">
        <w:rPr>
          <w:rFonts w:cs="BaskervilleBE-Regular"/>
          <w:sz w:val="24"/>
          <w:szCs w:val="24"/>
        </w:rPr>
        <w:t xml:space="preserve"> et vasoconstrictrice</w:t>
      </w:r>
      <w:r>
        <w:rPr>
          <w:rFonts w:cs="BaskervilleBE-Regular"/>
          <w:sz w:val="24"/>
          <w:szCs w:val="24"/>
        </w:rPr>
        <w:t>)</w:t>
      </w:r>
    </w:p>
    <w:p w:rsidR="00392416" w:rsidRPr="00392416" w:rsidRDefault="00392416" w:rsidP="00392416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392416">
        <w:rPr>
          <w:rFonts w:cs="BaskervilleBE-Regular"/>
          <w:sz w:val="24"/>
          <w:szCs w:val="24"/>
        </w:rPr>
        <w:t>Au</w:t>
      </w:r>
      <w:r>
        <w:rPr>
          <w:rFonts w:cs="BaskervilleBE-Regular"/>
          <w:sz w:val="24"/>
          <w:szCs w:val="24"/>
        </w:rPr>
        <w:t xml:space="preserve"> cours de l’endométriose</w:t>
      </w:r>
      <w:r w:rsidRPr="00392416">
        <w:rPr>
          <w:rFonts w:cs="BaskervilleBE-Regular"/>
          <w:sz w:val="24"/>
          <w:szCs w:val="24"/>
        </w:rPr>
        <w:t>, l’</w:t>
      </w:r>
      <w:proofErr w:type="spellStart"/>
      <w:r w:rsidRPr="00392416">
        <w:rPr>
          <w:rFonts w:cs="BaskervilleBE-Regular"/>
          <w:sz w:val="24"/>
          <w:szCs w:val="24"/>
        </w:rPr>
        <w:t>adénomyose</w:t>
      </w:r>
      <w:proofErr w:type="spellEnd"/>
      <w:r w:rsidRPr="00392416">
        <w:rPr>
          <w:rFonts w:cs="BaskervilleBE-Regular"/>
          <w:sz w:val="24"/>
          <w:szCs w:val="24"/>
        </w:rPr>
        <w:t xml:space="preserve"> </w:t>
      </w:r>
      <w:r>
        <w:rPr>
          <w:rFonts w:cs="BaskervilleBE-Regular"/>
          <w:sz w:val="24"/>
          <w:szCs w:val="24"/>
        </w:rPr>
        <w:t xml:space="preserve">et </w:t>
      </w:r>
      <w:r w:rsidRPr="00392416">
        <w:rPr>
          <w:rFonts w:cs="BaskervilleBE-Regular"/>
          <w:sz w:val="24"/>
          <w:szCs w:val="24"/>
        </w:rPr>
        <w:t xml:space="preserve">kystes ovariens, il semble également exister un </w:t>
      </w:r>
      <w:r w:rsidRPr="00392416">
        <w:rPr>
          <w:rFonts w:cs="BaskervilleBE-Medium"/>
          <w:sz w:val="24"/>
          <w:szCs w:val="24"/>
        </w:rPr>
        <w:t>excès de prostaglandines</w:t>
      </w:r>
      <w:r w:rsidRPr="00392416">
        <w:rPr>
          <w:rFonts w:cs="BaskervilleBE-Regular"/>
          <w:sz w:val="24"/>
          <w:szCs w:val="24"/>
        </w:rPr>
        <w:t>.</w:t>
      </w:r>
    </w:p>
    <w:p w:rsidR="00F54F26" w:rsidRPr="00D04444" w:rsidRDefault="00392416" w:rsidP="00D0444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BaskervilleBE-Medium"/>
          <w:sz w:val="24"/>
          <w:szCs w:val="24"/>
        </w:rPr>
      </w:pPr>
      <w:r>
        <w:rPr>
          <w:rFonts w:cs="BaskervilleBE-Regular"/>
          <w:sz w:val="24"/>
          <w:szCs w:val="24"/>
        </w:rPr>
        <w:t xml:space="preserve">une </w:t>
      </w:r>
      <w:r w:rsidR="00F54F26" w:rsidRPr="00D04444">
        <w:rPr>
          <w:rFonts w:cs="BaskervilleBE-Medium"/>
          <w:sz w:val="24"/>
          <w:szCs w:val="24"/>
        </w:rPr>
        <w:t xml:space="preserve">vasoconstriction </w:t>
      </w:r>
      <w:r w:rsidR="00F54F26" w:rsidRPr="00D04444">
        <w:rPr>
          <w:rFonts w:cs="BaskervilleBE-Regular"/>
          <w:sz w:val="24"/>
          <w:szCs w:val="24"/>
        </w:rPr>
        <w:t xml:space="preserve">artériolaire </w:t>
      </w:r>
      <w:r>
        <w:rPr>
          <w:rFonts w:cs="BaskervilleBE-Regular"/>
          <w:sz w:val="24"/>
          <w:szCs w:val="24"/>
        </w:rPr>
        <w:t xml:space="preserve">qui </w:t>
      </w:r>
      <w:r w:rsidR="00F54F26" w:rsidRPr="00D04444">
        <w:rPr>
          <w:rFonts w:cs="BaskervilleBE-Regular"/>
          <w:sz w:val="24"/>
          <w:szCs w:val="24"/>
        </w:rPr>
        <w:t>est constante.</w:t>
      </w:r>
    </w:p>
    <w:p w:rsidR="00D04444" w:rsidRPr="00D04444" w:rsidRDefault="00D04444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</w:p>
    <w:p w:rsidR="005E03F4" w:rsidRPr="00D04444" w:rsidRDefault="005E03F4" w:rsidP="00D04444">
      <w:pPr>
        <w:autoSpaceDE w:val="0"/>
        <w:autoSpaceDN w:val="0"/>
        <w:adjustRightInd w:val="0"/>
        <w:spacing w:after="0"/>
        <w:jc w:val="both"/>
        <w:rPr>
          <w:rFonts w:cs="BaskervilleBE-Medium"/>
          <w:b/>
          <w:bCs/>
          <w:sz w:val="24"/>
          <w:szCs w:val="24"/>
        </w:rPr>
      </w:pPr>
      <w:r w:rsidRPr="00D04444">
        <w:rPr>
          <w:rFonts w:cs="BaskervilleBE-Regular"/>
          <w:b/>
          <w:bCs/>
          <w:sz w:val="24"/>
          <w:szCs w:val="24"/>
        </w:rPr>
        <w:t xml:space="preserve">Diagnostic </w:t>
      </w:r>
    </w:p>
    <w:p w:rsidR="005E03F4" w:rsidRPr="00D04444" w:rsidRDefault="005E03F4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La dysménorrhée apparait comme une douleur pelvienne, pa</w:t>
      </w:r>
      <w:r w:rsidR="00F12206" w:rsidRPr="00D04444">
        <w:rPr>
          <w:rFonts w:cs="BaskervilleBE-Regular"/>
          <w:sz w:val="24"/>
          <w:szCs w:val="24"/>
        </w:rPr>
        <w:t xml:space="preserve">rfois lombaire ou à type de coliques, </w:t>
      </w:r>
      <w:r w:rsidRPr="00D04444">
        <w:rPr>
          <w:rFonts w:cs="BaskervilleBE-Regular"/>
          <w:sz w:val="24"/>
          <w:szCs w:val="24"/>
        </w:rPr>
        <w:t xml:space="preserve">souvent à peine gênante. D’autres fois, elle est brutale, paroxystique, intense, </w:t>
      </w:r>
      <w:r w:rsidRPr="00D04444">
        <w:rPr>
          <w:rFonts w:cs="BaskervilleBE-Regular"/>
          <w:sz w:val="24"/>
          <w:szCs w:val="24"/>
        </w:rPr>
        <w:lastRenderedPageBreak/>
        <w:t>pouvant s’accompagner d’autres manifestations : lipothymies, nausées, troubles intestinaux, migraine.</w:t>
      </w:r>
    </w:p>
    <w:p w:rsidR="00F12206" w:rsidRPr="00D04444" w:rsidRDefault="00F12206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eastAsia="Times New Roman" w:cs="Arial"/>
          <w:color w:val="2C2C2C"/>
          <w:sz w:val="24"/>
          <w:szCs w:val="24"/>
          <w:lang w:eastAsia="fr-FR"/>
        </w:rPr>
        <w:t>Elle apparait soit un peu avant les règles, soit au début de celles-ci, soit vers la fin, ou bien se manifester pendant toute leur durée.</w:t>
      </w:r>
    </w:p>
    <w:p w:rsidR="004A45C3" w:rsidRPr="00D04444" w:rsidRDefault="005E03F4" w:rsidP="00D04444">
      <w:p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 xml:space="preserve">L’interrogatoire attentif est </w:t>
      </w:r>
      <w:r w:rsidRPr="00D04444">
        <w:rPr>
          <w:rFonts w:cs="BaskervilleBE-Medium"/>
          <w:sz w:val="24"/>
          <w:szCs w:val="24"/>
        </w:rPr>
        <w:t>essentiel</w:t>
      </w:r>
      <w:r w:rsidRPr="00D04444">
        <w:rPr>
          <w:rFonts w:cs="BaskervilleBE-Regular"/>
          <w:sz w:val="24"/>
          <w:szCs w:val="24"/>
        </w:rPr>
        <w:t>.</w:t>
      </w:r>
    </w:p>
    <w:p w:rsidR="005E03F4" w:rsidRPr="00D04444" w:rsidRDefault="004A45C3" w:rsidP="00A856C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>L</w:t>
      </w:r>
      <w:r w:rsidR="005E03F4" w:rsidRPr="00D04444">
        <w:rPr>
          <w:rFonts w:cs="BaskervilleBE-Regular"/>
          <w:sz w:val="24"/>
          <w:szCs w:val="24"/>
        </w:rPr>
        <w:t>e diagnostic</w:t>
      </w:r>
      <w:r w:rsidR="00A856C4">
        <w:rPr>
          <w:rFonts w:cs="BaskervilleBE-Regular"/>
          <w:sz w:val="24"/>
          <w:szCs w:val="24"/>
        </w:rPr>
        <w:t xml:space="preserve"> d’une</w:t>
      </w:r>
      <w:r w:rsidRPr="00D04444">
        <w:rPr>
          <w:rFonts w:cs="BaskervilleBE-Regular"/>
          <w:sz w:val="24"/>
          <w:szCs w:val="24"/>
        </w:rPr>
        <w:t xml:space="preserve"> dysménorrhée essentielle ou fonctionnelle est évoqué </w:t>
      </w:r>
      <w:r w:rsidR="00A856C4">
        <w:rPr>
          <w:rFonts w:cs="BaskervilleBE-Regular"/>
          <w:sz w:val="24"/>
          <w:szCs w:val="24"/>
        </w:rPr>
        <w:t>devant la présence d'</w:t>
      </w:r>
      <w:r w:rsidR="005E03F4" w:rsidRPr="00D04444">
        <w:rPr>
          <w:rFonts w:cs="BaskervilleBE-Regular"/>
          <w:sz w:val="24"/>
          <w:szCs w:val="24"/>
        </w:rPr>
        <w:t xml:space="preserve">antécédents identiques familiaux (mère, </w:t>
      </w:r>
      <w:r w:rsidR="00A856C4" w:rsidRPr="00D04444">
        <w:rPr>
          <w:rFonts w:cs="BaskervilleBE-Regular"/>
          <w:sz w:val="24"/>
          <w:szCs w:val="24"/>
        </w:rPr>
        <w:t>sœurs</w:t>
      </w:r>
      <w:r w:rsidR="005E03F4" w:rsidRPr="00D04444">
        <w:rPr>
          <w:rFonts w:cs="BaskervilleBE-Regular"/>
          <w:sz w:val="24"/>
          <w:szCs w:val="24"/>
        </w:rPr>
        <w:t xml:space="preserve"> aînées), ou si la jeune fille fume plus de 15 cigarettes par jour, ou si la ménarche est survenue avant 13 ans. </w:t>
      </w:r>
    </w:p>
    <w:p w:rsidR="004A45C3" w:rsidRPr="00D04444" w:rsidRDefault="004A45C3" w:rsidP="00D0444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  <w:r w:rsidRPr="00D04444">
        <w:rPr>
          <w:rFonts w:cs="BaskervilleBE-Regular"/>
          <w:sz w:val="24"/>
          <w:szCs w:val="24"/>
        </w:rPr>
        <w:t xml:space="preserve">Si le diagnostic est orienté vers une dysménorrhée </w:t>
      </w:r>
      <w:r w:rsidRPr="00D04444">
        <w:rPr>
          <w:rFonts w:cs="BaskervilleBE-Medium"/>
          <w:sz w:val="24"/>
          <w:szCs w:val="24"/>
        </w:rPr>
        <w:t xml:space="preserve">organique, l’examen gynécologique </w:t>
      </w:r>
      <w:r w:rsidRPr="00D04444">
        <w:rPr>
          <w:rFonts w:cs="BaskervilleBE-Regular"/>
          <w:sz w:val="24"/>
          <w:szCs w:val="24"/>
        </w:rPr>
        <w:t>clinique accompagné d'une échographie pelvienne est indispensable</w:t>
      </w:r>
      <w:r w:rsidR="00A856C4">
        <w:rPr>
          <w:rFonts w:cs="BaskervilleBE-Regular"/>
          <w:sz w:val="24"/>
          <w:szCs w:val="24"/>
        </w:rPr>
        <w:t>.</w:t>
      </w:r>
      <w:r w:rsidRPr="00D04444">
        <w:rPr>
          <w:rFonts w:cs="BaskervilleBE-Regular"/>
          <w:sz w:val="24"/>
          <w:szCs w:val="24"/>
        </w:rPr>
        <w:t xml:space="preserve"> </w:t>
      </w:r>
    </w:p>
    <w:p w:rsidR="004A45C3" w:rsidRPr="00D04444" w:rsidRDefault="004A45C3" w:rsidP="00D04444">
      <w:pPr>
        <w:pStyle w:val="Paragraphedeliste"/>
        <w:autoSpaceDE w:val="0"/>
        <w:autoSpaceDN w:val="0"/>
        <w:adjustRightInd w:val="0"/>
        <w:spacing w:after="0"/>
        <w:jc w:val="both"/>
        <w:rPr>
          <w:rFonts w:cs="BaskervilleBE-Regular"/>
          <w:sz w:val="24"/>
          <w:szCs w:val="24"/>
        </w:rPr>
      </w:pPr>
    </w:p>
    <w:p w:rsidR="005E03F4" w:rsidRPr="00D04444" w:rsidRDefault="000C3C93" w:rsidP="00D04444">
      <w:pPr>
        <w:autoSpaceDE w:val="0"/>
        <w:autoSpaceDN w:val="0"/>
        <w:adjustRightInd w:val="0"/>
        <w:spacing w:after="0"/>
        <w:jc w:val="both"/>
        <w:rPr>
          <w:rFonts w:cs="BaskervilleBE-Medium"/>
          <w:b/>
          <w:bCs/>
          <w:sz w:val="24"/>
          <w:szCs w:val="24"/>
        </w:rPr>
      </w:pPr>
      <w:r w:rsidRPr="00D04444">
        <w:rPr>
          <w:rFonts w:cs="BaskervilleBE-Medium"/>
          <w:b/>
          <w:bCs/>
          <w:sz w:val="24"/>
          <w:szCs w:val="24"/>
        </w:rPr>
        <w:t xml:space="preserve">Traitement </w:t>
      </w:r>
    </w:p>
    <w:p w:rsidR="00D04444" w:rsidRDefault="000C3C93" w:rsidP="00D04444">
      <w:pPr>
        <w:spacing w:after="0"/>
        <w:jc w:val="both"/>
        <w:textAlignment w:val="baseline"/>
        <w:rPr>
          <w:rFonts w:eastAsia="Times New Roman" w:cs="Arial"/>
          <w:color w:val="2C2C2C"/>
          <w:sz w:val="24"/>
          <w:szCs w:val="24"/>
          <w:lang w:eastAsia="fr-FR"/>
        </w:rPr>
      </w:pPr>
      <w:r w:rsidRPr="00D04444">
        <w:rPr>
          <w:rFonts w:eastAsia="Times New Roman" w:cs="Arial"/>
          <w:color w:val="2C2C2C"/>
          <w:sz w:val="24"/>
          <w:szCs w:val="24"/>
          <w:lang w:eastAsia="fr-FR"/>
        </w:rPr>
        <w:t>Le traitement des dysménorrhées secondaires est d'abord celui de leur cause.</w:t>
      </w:r>
    </w:p>
    <w:p w:rsidR="000C3C93" w:rsidRDefault="000C3C93" w:rsidP="00D04444">
      <w:pPr>
        <w:spacing w:after="0"/>
        <w:jc w:val="both"/>
        <w:textAlignment w:val="baseline"/>
        <w:rPr>
          <w:rFonts w:eastAsia="Times New Roman" w:cs="Arial"/>
          <w:color w:val="2C2C2C"/>
          <w:sz w:val="24"/>
          <w:szCs w:val="24"/>
          <w:lang w:eastAsia="fr-FR"/>
        </w:rPr>
      </w:pPr>
      <w:r w:rsidRPr="00D04444">
        <w:rPr>
          <w:rFonts w:eastAsia="Times New Roman" w:cs="Arial"/>
          <w:color w:val="2C2C2C"/>
          <w:sz w:val="24"/>
          <w:szCs w:val="24"/>
          <w:lang w:eastAsia="fr-FR"/>
        </w:rPr>
        <w:t>Le traitement symptomatique peut utiliser :</w:t>
      </w:r>
    </w:p>
    <w:p w:rsidR="000C3C93" w:rsidRPr="00610AD6" w:rsidRDefault="000C3C93" w:rsidP="00610AD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610AD6">
        <w:rPr>
          <w:rFonts w:cs="Frutiger-Bold"/>
          <w:b/>
          <w:bCs/>
          <w:sz w:val="24"/>
          <w:szCs w:val="24"/>
        </w:rPr>
        <w:t xml:space="preserve">Les </w:t>
      </w:r>
      <w:proofErr w:type="spellStart"/>
      <w:r w:rsidRPr="00610AD6">
        <w:rPr>
          <w:rFonts w:cs="Frutiger-Bold"/>
          <w:b/>
          <w:bCs/>
          <w:sz w:val="24"/>
          <w:szCs w:val="24"/>
        </w:rPr>
        <w:t>antiprostaglandines</w:t>
      </w:r>
      <w:proofErr w:type="spellEnd"/>
      <w:r w:rsidR="00610AD6">
        <w:rPr>
          <w:rFonts w:cs="Frutiger-Bold"/>
          <w:b/>
          <w:bCs/>
          <w:sz w:val="24"/>
          <w:szCs w:val="24"/>
        </w:rPr>
        <w:t xml:space="preserve">: </w:t>
      </w:r>
      <w:r w:rsidR="00610AD6" w:rsidRPr="00D04444">
        <w:rPr>
          <w:rFonts w:cs="BaskervilleBE-Medium"/>
          <w:sz w:val="24"/>
          <w:szCs w:val="24"/>
        </w:rPr>
        <w:t>inhibiteurs de la synthèse des prostaglandines</w:t>
      </w:r>
    </w:p>
    <w:p w:rsidR="00D543AA" w:rsidRPr="00610AD6" w:rsidRDefault="00D04444" w:rsidP="00610AD6">
      <w:pPr>
        <w:pStyle w:val="wysiwyg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cs="BaskervilleBE-Regular"/>
        </w:rPr>
      </w:pPr>
      <w:r w:rsidRPr="00D04444">
        <w:rPr>
          <w:rFonts w:asciiTheme="minorHAnsi" w:hAnsiTheme="minorHAnsi" w:cs="Frutiger-Bold"/>
          <w:b/>
          <w:bCs/>
        </w:rPr>
        <w:t>Les antispasmodiques</w:t>
      </w:r>
      <w:r w:rsidR="00610AD6">
        <w:rPr>
          <w:rFonts w:asciiTheme="minorHAnsi" w:hAnsiTheme="minorHAnsi" w:cs="Frutiger-Bold"/>
          <w:b/>
          <w:bCs/>
        </w:rPr>
        <w:t xml:space="preserve"> </w:t>
      </w:r>
      <w:r w:rsidRPr="00610AD6">
        <w:rPr>
          <w:rFonts w:asciiTheme="minorHAnsi" w:hAnsiTheme="minorHAnsi" w:cs="Frutiger-Bold"/>
        </w:rPr>
        <w:t>utilisés pour</w:t>
      </w:r>
      <w:r w:rsidRPr="00610AD6">
        <w:rPr>
          <w:rFonts w:asciiTheme="minorHAnsi" w:hAnsiTheme="minorHAnsi" w:cs="Frutiger-Bold"/>
          <w:b/>
          <w:bCs/>
        </w:rPr>
        <w:t xml:space="preserve"> </w:t>
      </w:r>
      <w:r w:rsidRPr="00610AD6">
        <w:rPr>
          <w:rStyle w:val="grey"/>
          <w:rFonts w:asciiTheme="minorHAnsi" w:hAnsiTheme="minorHAnsi" w:cs="Arial"/>
        </w:rPr>
        <w:t>diminuer les</w:t>
      </w:r>
      <w:r w:rsidRPr="00610AD6">
        <w:rPr>
          <w:rStyle w:val="apple-converted-space"/>
          <w:rFonts w:asciiTheme="minorHAnsi" w:hAnsiTheme="minorHAnsi" w:cs="Arial"/>
        </w:rPr>
        <w:t> </w:t>
      </w:r>
      <w:r w:rsidRPr="00610AD6">
        <w:rPr>
          <w:rStyle w:val="lev"/>
          <w:rFonts w:asciiTheme="minorHAnsi" w:hAnsiTheme="minorHAnsi" w:cs="Arial"/>
        </w:rPr>
        <w:t>douleurs vaginales et intestinales</w:t>
      </w:r>
      <w:r w:rsidRPr="00610AD6">
        <w:rPr>
          <w:rStyle w:val="grey"/>
          <w:rFonts w:asciiTheme="minorHAnsi" w:hAnsiTheme="minorHAnsi" w:cs="Arial"/>
        </w:rPr>
        <w:t xml:space="preserve"> </w:t>
      </w:r>
    </w:p>
    <w:p w:rsidR="00016394" w:rsidRPr="00610AD6" w:rsidRDefault="00016394" w:rsidP="00610AD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cs="Frutiger-Bold"/>
          <w:b/>
          <w:bCs/>
          <w:sz w:val="24"/>
          <w:szCs w:val="24"/>
        </w:rPr>
      </w:pPr>
      <w:r w:rsidRPr="00610AD6">
        <w:rPr>
          <w:rFonts w:cs="Frutiger-Bold"/>
          <w:b/>
          <w:bCs/>
          <w:sz w:val="24"/>
          <w:szCs w:val="24"/>
        </w:rPr>
        <w:t>Les progestatifs</w:t>
      </w:r>
      <w:r w:rsidR="00610AD6">
        <w:rPr>
          <w:rFonts w:cs="Frutiger-Bold"/>
          <w:b/>
          <w:bCs/>
          <w:sz w:val="24"/>
          <w:szCs w:val="24"/>
        </w:rPr>
        <w:t xml:space="preserve">: </w:t>
      </w:r>
      <w:r w:rsidRPr="00610AD6">
        <w:rPr>
          <w:rFonts w:cs="BaskervilleBE-Regular"/>
          <w:sz w:val="24"/>
          <w:szCs w:val="24"/>
        </w:rPr>
        <w:t xml:space="preserve">agissent en </w:t>
      </w:r>
      <w:r w:rsidR="00610AD6">
        <w:rPr>
          <w:rFonts w:cs="BaskervilleBE-Regular"/>
          <w:sz w:val="24"/>
          <w:szCs w:val="24"/>
        </w:rPr>
        <w:t xml:space="preserve">diminuant la motricité utérine et en </w:t>
      </w:r>
      <w:r w:rsidRPr="00610AD6">
        <w:rPr>
          <w:rFonts w:cs="BaskervilleBE-Regular"/>
          <w:sz w:val="24"/>
          <w:szCs w:val="24"/>
        </w:rPr>
        <w:t>réduisant significativement la PGF2</w:t>
      </w:r>
      <w:r w:rsidRPr="00610AD6">
        <w:rPr>
          <w:rFonts w:cs="Symbol"/>
          <w:sz w:val="24"/>
          <w:szCs w:val="24"/>
        </w:rPr>
        <w:t>α</w:t>
      </w:r>
    </w:p>
    <w:p w:rsidR="002A323B" w:rsidRPr="002A323B" w:rsidRDefault="002A323B" w:rsidP="00D04444">
      <w:pPr>
        <w:autoSpaceDE w:val="0"/>
        <w:autoSpaceDN w:val="0"/>
        <w:adjustRightInd w:val="0"/>
        <w:spacing w:after="0"/>
        <w:ind w:left="1788"/>
        <w:jc w:val="both"/>
        <w:rPr>
          <w:rFonts w:cs="BaskervilleBE-Regular"/>
          <w:sz w:val="14"/>
          <w:szCs w:val="14"/>
        </w:rPr>
      </w:pPr>
    </w:p>
    <w:p w:rsidR="006A0388" w:rsidRPr="006A0388" w:rsidRDefault="006A0388" w:rsidP="002A323B">
      <w:pPr>
        <w:pStyle w:val="Titre2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A0388">
        <w:rPr>
          <w:rFonts w:asciiTheme="minorHAnsi" w:hAnsiTheme="minorHAnsi" w:cs="Arial"/>
          <w:sz w:val="24"/>
          <w:szCs w:val="24"/>
        </w:rPr>
        <w:t xml:space="preserve">Les conseils du pharmacien </w:t>
      </w:r>
    </w:p>
    <w:p w:rsidR="006A0388" w:rsidRPr="006A0388" w:rsidRDefault="006A0388" w:rsidP="006A0388">
      <w:pPr>
        <w:pStyle w:val="wysiwyg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</w:rPr>
      </w:pPr>
      <w:r w:rsidRPr="006A0388">
        <w:rPr>
          <w:rFonts w:asciiTheme="minorHAnsi" w:hAnsiTheme="minorHAnsi" w:cs="Arial"/>
        </w:rPr>
        <w:t>Pendant les</w:t>
      </w:r>
      <w:r w:rsidRPr="006A0388">
        <w:rPr>
          <w:rStyle w:val="apple-converted-space"/>
          <w:rFonts w:asciiTheme="minorHAnsi" w:hAnsiTheme="minorHAnsi" w:cs="Arial"/>
        </w:rPr>
        <w:t> </w:t>
      </w:r>
      <w:r w:rsidRPr="006A0388">
        <w:rPr>
          <w:rStyle w:val="lev"/>
          <w:rFonts w:asciiTheme="minorHAnsi" w:hAnsiTheme="minorHAnsi" w:cs="Arial"/>
        </w:rPr>
        <w:t>règles</w:t>
      </w:r>
      <w:r w:rsidRPr="006A0388">
        <w:rPr>
          <w:rFonts w:asciiTheme="minorHAnsi" w:hAnsiTheme="minorHAnsi" w:cs="Arial"/>
        </w:rPr>
        <w:t>, pour l'</w:t>
      </w:r>
      <w:hyperlink r:id="rId5" w:history="1">
        <w:r w:rsidRPr="006A0388">
          <w:rPr>
            <w:rStyle w:val="Lienhypertexte"/>
            <w:rFonts w:asciiTheme="minorHAnsi" w:hAnsiTheme="minorHAnsi" w:cs="Arial"/>
            <w:color w:val="auto"/>
            <w:u w:val="none"/>
          </w:rPr>
          <w:t>hygiène intime</w:t>
        </w:r>
      </w:hyperlink>
      <w:r w:rsidRPr="006A0388">
        <w:rPr>
          <w:rFonts w:asciiTheme="minorHAnsi" w:hAnsiTheme="minorHAnsi" w:cs="Arial"/>
        </w:rPr>
        <w:t>, évitez les produits agressifs type savon classique, gel douche parfumé... Privilégiez les savons sans parfum à</w:t>
      </w:r>
      <w:r w:rsidRPr="006A0388">
        <w:rPr>
          <w:rStyle w:val="apple-converted-space"/>
          <w:rFonts w:asciiTheme="minorHAnsi" w:hAnsiTheme="minorHAnsi" w:cs="Arial"/>
        </w:rPr>
        <w:t> </w:t>
      </w:r>
      <w:hyperlink r:id="rId6" w:history="1">
        <w:r w:rsidRPr="00924594">
          <w:rPr>
            <w:rStyle w:val="Lienhypertexte"/>
            <w:rFonts w:asciiTheme="minorHAnsi" w:hAnsiTheme="minorHAnsi" w:cs="Arial"/>
            <w:color w:val="auto"/>
            <w:u w:val="none"/>
          </w:rPr>
          <w:t>pH</w:t>
        </w:r>
      </w:hyperlink>
      <w:r w:rsidRPr="00924594">
        <w:rPr>
          <w:rStyle w:val="apple-converted-space"/>
          <w:rFonts w:asciiTheme="minorHAnsi" w:hAnsiTheme="minorHAnsi" w:cs="Arial"/>
        </w:rPr>
        <w:t> </w:t>
      </w:r>
      <w:r w:rsidRPr="006A0388">
        <w:rPr>
          <w:rFonts w:asciiTheme="minorHAnsi" w:hAnsiTheme="minorHAnsi" w:cs="Arial"/>
        </w:rPr>
        <w:t>neutre</w:t>
      </w:r>
      <w:r w:rsidRPr="006A0388">
        <w:rPr>
          <w:rStyle w:val="apple-converted-space"/>
          <w:rFonts w:asciiTheme="minorHAnsi" w:hAnsiTheme="minorHAnsi" w:cs="Arial"/>
        </w:rPr>
        <w:t> </w:t>
      </w:r>
      <w:r w:rsidR="00924594">
        <w:rPr>
          <w:rStyle w:val="Accentuation"/>
          <w:rFonts w:asciiTheme="minorHAnsi" w:hAnsiTheme="minorHAnsi" w:cs="Arial"/>
        </w:rPr>
        <w:t>(</w:t>
      </w:r>
      <w:proofErr w:type="spellStart"/>
      <w:r w:rsidR="004837B0" w:rsidRPr="00924594">
        <w:rPr>
          <w:rFonts w:asciiTheme="minorHAnsi" w:hAnsiTheme="minorHAnsi" w:cs="Arial"/>
        </w:rPr>
        <w:fldChar w:fldCharType="begin"/>
      </w:r>
      <w:r w:rsidRPr="00924594">
        <w:rPr>
          <w:rFonts w:asciiTheme="minorHAnsi" w:hAnsiTheme="minorHAnsi" w:cs="Arial"/>
        </w:rPr>
        <w:instrText xml:space="preserve"> HYPERLINK "http://www.pharmaciengiphar.com/node/30021" </w:instrText>
      </w:r>
      <w:r w:rsidR="004837B0" w:rsidRPr="00924594">
        <w:rPr>
          <w:rFonts w:asciiTheme="minorHAnsi" w:hAnsiTheme="minorHAnsi" w:cs="Arial"/>
        </w:rPr>
        <w:fldChar w:fldCharType="separate"/>
      </w:r>
      <w:r w:rsidRPr="00924594">
        <w:rPr>
          <w:rStyle w:val="Lienhypertexte"/>
          <w:rFonts w:asciiTheme="minorHAnsi" w:hAnsiTheme="minorHAnsi" w:cs="Arial"/>
          <w:color w:val="auto"/>
          <w:u w:val="none"/>
        </w:rPr>
        <w:t>Dermactive</w:t>
      </w:r>
      <w:proofErr w:type="spellEnd"/>
      <w:r w:rsidR="004837B0" w:rsidRPr="00924594">
        <w:rPr>
          <w:rFonts w:asciiTheme="minorHAnsi" w:hAnsiTheme="minorHAnsi" w:cs="Arial"/>
        </w:rPr>
        <w:fldChar w:fldCharType="end"/>
      </w:r>
      <w:hyperlink r:id="rId7" w:history="1">
        <w:r w:rsidRPr="00924594">
          <w:rPr>
            <w:rStyle w:val="Lienhypertexte"/>
            <w:rFonts w:asciiTheme="minorHAnsi" w:hAnsiTheme="minorHAnsi" w:cs="Arial"/>
            <w:color w:val="auto"/>
            <w:u w:val="none"/>
          </w:rPr>
          <w:t>®</w:t>
        </w:r>
      </w:hyperlink>
      <w:hyperlink r:id="rId8" w:history="1">
        <w:r w:rsidRPr="00924594">
          <w:rPr>
            <w:rStyle w:val="apple-converted-space"/>
            <w:rFonts w:asciiTheme="minorHAnsi" w:hAnsiTheme="minorHAnsi" w:cs="Arial"/>
          </w:rPr>
          <w:t> </w:t>
        </w:r>
        <w:r w:rsidRPr="00924594">
          <w:rPr>
            <w:rStyle w:val="Lienhypertexte"/>
            <w:rFonts w:asciiTheme="minorHAnsi" w:hAnsiTheme="minorHAnsi" w:cs="Arial"/>
            <w:color w:val="auto"/>
            <w:u w:val="none"/>
          </w:rPr>
          <w:t>gel intime</w:t>
        </w:r>
      </w:hyperlink>
      <w:r w:rsidRPr="006A0388">
        <w:rPr>
          <w:rFonts w:asciiTheme="minorHAnsi" w:hAnsiTheme="minorHAnsi" w:cs="Arial"/>
        </w:rPr>
        <w:t xml:space="preserve">, </w:t>
      </w:r>
      <w:proofErr w:type="spellStart"/>
      <w:r w:rsidRPr="006A0388">
        <w:rPr>
          <w:rFonts w:asciiTheme="minorHAnsi" w:hAnsiTheme="minorHAnsi" w:cs="Arial"/>
        </w:rPr>
        <w:t>Hydralin</w:t>
      </w:r>
      <w:proofErr w:type="spellEnd"/>
      <w:r w:rsidRPr="006A0388">
        <w:rPr>
          <w:rFonts w:asciiTheme="minorHAnsi" w:hAnsiTheme="minorHAnsi" w:cs="Arial"/>
        </w:rPr>
        <w:t xml:space="preserve"> apaisa®, </w:t>
      </w:r>
      <w:proofErr w:type="spellStart"/>
      <w:r w:rsidRPr="006A0388">
        <w:rPr>
          <w:rFonts w:asciiTheme="minorHAnsi" w:hAnsiTheme="minorHAnsi" w:cs="Arial"/>
        </w:rPr>
        <w:t>Saforelle</w:t>
      </w:r>
      <w:proofErr w:type="spellEnd"/>
      <w:r w:rsidRPr="006A0388">
        <w:rPr>
          <w:rFonts w:asciiTheme="minorHAnsi" w:hAnsiTheme="minorHAnsi" w:cs="Arial"/>
        </w:rPr>
        <w:t xml:space="preserve">®, </w:t>
      </w:r>
      <w:proofErr w:type="spellStart"/>
      <w:r w:rsidRPr="006A0388">
        <w:rPr>
          <w:rFonts w:asciiTheme="minorHAnsi" w:hAnsiTheme="minorHAnsi" w:cs="Arial"/>
        </w:rPr>
        <w:t>Rogé</w:t>
      </w:r>
      <w:proofErr w:type="spellEnd"/>
      <w:r w:rsidRPr="006A0388">
        <w:rPr>
          <w:rFonts w:asciiTheme="minorHAnsi" w:hAnsiTheme="minorHAnsi" w:cs="Arial"/>
        </w:rPr>
        <w:t xml:space="preserve"> Cavaillès intime®, </w:t>
      </w:r>
      <w:proofErr w:type="spellStart"/>
      <w:r w:rsidRPr="006A0388">
        <w:rPr>
          <w:rFonts w:asciiTheme="minorHAnsi" w:hAnsiTheme="minorHAnsi" w:cs="Arial"/>
        </w:rPr>
        <w:t>Fémina</w:t>
      </w:r>
      <w:proofErr w:type="spellEnd"/>
      <w:r w:rsidRPr="006A0388">
        <w:rPr>
          <w:rFonts w:asciiTheme="minorHAnsi" w:hAnsiTheme="minorHAnsi" w:cs="Arial"/>
        </w:rPr>
        <w:t xml:space="preserve">®, </w:t>
      </w:r>
      <w:proofErr w:type="spellStart"/>
      <w:r w:rsidRPr="006A0388">
        <w:rPr>
          <w:rFonts w:asciiTheme="minorHAnsi" w:hAnsiTheme="minorHAnsi" w:cs="Arial"/>
        </w:rPr>
        <w:t>Saugella</w:t>
      </w:r>
      <w:proofErr w:type="spellEnd"/>
      <w:r w:rsidRPr="006A0388">
        <w:rPr>
          <w:rFonts w:asciiTheme="minorHAnsi" w:hAnsiTheme="minorHAnsi" w:cs="Arial"/>
        </w:rPr>
        <w:t>®... Pensez à bien rincer à l'eau claire et à bien vous sécher. Préférez les douches aux bains.</w:t>
      </w:r>
    </w:p>
    <w:p w:rsidR="006A0388" w:rsidRPr="006A0388" w:rsidRDefault="006A0388" w:rsidP="006A0388">
      <w:pPr>
        <w:pStyle w:val="wysiwyg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</w:rPr>
      </w:pPr>
      <w:r w:rsidRPr="006A0388">
        <w:rPr>
          <w:rFonts w:asciiTheme="minorHAnsi" w:hAnsiTheme="minorHAnsi" w:cs="Arial"/>
        </w:rPr>
        <w:t>Pour soulager les douleurs localement, il est possible d'appliquer une bouillote d'eau chaude au niveau du bassin.</w:t>
      </w:r>
    </w:p>
    <w:p w:rsidR="006A0388" w:rsidRPr="006A0388" w:rsidRDefault="006A0388" w:rsidP="006A0388">
      <w:pPr>
        <w:pStyle w:val="wysiwyg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</w:rPr>
      </w:pPr>
      <w:r w:rsidRPr="006A0388">
        <w:rPr>
          <w:rFonts w:asciiTheme="minorHAnsi" w:hAnsiTheme="minorHAnsi" w:cs="Arial"/>
        </w:rPr>
        <w:t>Ayez une</w:t>
      </w:r>
      <w:r w:rsidRPr="006A0388">
        <w:rPr>
          <w:rStyle w:val="apple-converted-space"/>
          <w:rFonts w:asciiTheme="minorHAnsi" w:hAnsiTheme="minorHAnsi" w:cs="Arial"/>
        </w:rPr>
        <w:t> </w:t>
      </w:r>
      <w:hyperlink r:id="rId9" w:history="1">
        <w:r w:rsidRPr="00924594">
          <w:rPr>
            <w:rStyle w:val="Lienhypertexte"/>
            <w:rFonts w:asciiTheme="minorHAnsi" w:hAnsiTheme="minorHAnsi" w:cs="Arial"/>
            <w:color w:val="auto"/>
            <w:u w:val="none"/>
          </w:rPr>
          <w:t>activité physique</w:t>
        </w:r>
      </w:hyperlink>
      <w:r w:rsidRPr="006A0388">
        <w:rPr>
          <w:rStyle w:val="apple-converted-space"/>
          <w:rFonts w:asciiTheme="minorHAnsi" w:hAnsiTheme="minorHAnsi" w:cs="Arial"/>
        </w:rPr>
        <w:t> </w:t>
      </w:r>
      <w:r w:rsidRPr="006A0388">
        <w:rPr>
          <w:rFonts w:asciiTheme="minorHAnsi" w:hAnsiTheme="minorHAnsi" w:cs="Arial"/>
        </w:rPr>
        <w:t>même limitée plutôt que rester allongée.</w:t>
      </w:r>
    </w:p>
    <w:p w:rsidR="006A0388" w:rsidRDefault="006A0388" w:rsidP="00924594">
      <w:pPr>
        <w:pStyle w:val="wysiwyg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</w:rPr>
      </w:pPr>
      <w:r w:rsidRPr="006A0388">
        <w:rPr>
          <w:rFonts w:asciiTheme="minorHAnsi" w:hAnsiTheme="minorHAnsi" w:cs="Arial"/>
        </w:rPr>
        <w:t>Masser le bas ventre avec 1 goutte d’</w:t>
      </w:r>
      <w:hyperlink r:id="rId10" w:history="1">
        <w:r w:rsidRPr="00924594">
          <w:rPr>
            <w:rStyle w:val="Lienhypertexte"/>
            <w:rFonts w:asciiTheme="minorHAnsi" w:hAnsiTheme="minorHAnsi" w:cs="Arial"/>
            <w:color w:val="auto"/>
            <w:u w:val="none"/>
          </w:rPr>
          <w:t>huile essentielle de BASILIC</w:t>
        </w:r>
      </w:hyperlink>
      <w:r w:rsidRPr="006A0388">
        <w:rPr>
          <w:rFonts w:asciiTheme="minorHAnsi" w:hAnsiTheme="minorHAnsi" w:cs="Arial"/>
        </w:rPr>
        <w:t xml:space="preserve"> permettra de limiter les douleurs.</w:t>
      </w:r>
    </w:p>
    <w:p w:rsidR="006C73D5" w:rsidRDefault="006C73D5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100703" w:rsidRPr="006C73D5" w:rsidRDefault="00100703" w:rsidP="006C73D5">
      <w:pPr>
        <w:pStyle w:val="wysiwyg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6A0388" w:rsidRDefault="006A0388" w:rsidP="006A0388">
      <w:pPr>
        <w:autoSpaceDE w:val="0"/>
        <w:autoSpaceDN w:val="0"/>
        <w:adjustRightInd w:val="0"/>
        <w:spacing w:after="0" w:line="240" w:lineRule="auto"/>
        <w:rPr>
          <w:rFonts w:ascii="BaskervilleBE-Regular" w:hAnsi="BaskervilleBE-Regular" w:cs="BaskervilleBE-Regular"/>
          <w:sz w:val="20"/>
          <w:szCs w:val="20"/>
        </w:rPr>
      </w:pPr>
      <w:r>
        <w:rPr>
          <w:rFonts w:ascii="BaskervilleBE-Regular" w:hAnsi="BaskervilleBE-Regular" w:cs="BaskervilleBE-Regular"/>
          <w:sz w:val="20"/>
          <w:szCs w:val="20"/>
        </w:rPr>
        <w:t xml:space="preserve"> </w:t>
      </w:r>
    </w:p>
    <w:p w:rsidR="006A0388" w:rsidRDefault="006C73D5" w:rsidP="006C73D5">
      <w:pPr>
        <w:autoSpaceDE w:val="0"/>
        <w:autoSpaceDN w:val="0"/>
        <w:adjustRightInd w:val="0"/>
        <w:spacing w:after="0"/>
        <w:jc w:val="center"/>
        <w:rPr>
          <w:rFonts w:cs="BaskervilleBE-Regular"/>
          <w:b/>
          <w:bCs/>
          <w:sz w:val="28"/>
          <w:szCs w:val="26"/>
        </w:rPr>
      </w:pPr>
      <w:r w:rsidRPr="006C73D5">
        <w:rPr>
          <w:rFonts w:cs="BaskervilleBE-Regular"/>
          <w:b/>
          <w:bCs/>
          <w:sz w:val="28"/>
          <w:szCs w:val="26"/>
        </w:rPr>
        <w:lastRenderedPageBreak/>
        <w:t>Contraception</w:t>
      </w:r>
    </w:p>
    <w:p w:rsidR="000E6D94" w:rsidRDefault="000E6D94" w:rsidP="006C73D5">
      <w:pPr>
        <w:autoSpaceDE w:val="0"/>
        <w:autoSpaceDN w:val="0"/>
        <w:adjustRightInd w:val="0"/>
        <w:spacing w:after="0"/>
        <w:jc w:val="center"/>
        <w:rPr>
          <w:rFonts w:cs="BaskervilleBE-Regular"/>
          <w:b/>
          <w:bCs/>
          <w:sz w:val="28"/>
          <w:szCs w:val="26"/>
        </w:rPr>
      </w:pPr>
    </w:p>
    <w:p w:rsidR="000E6D94" w:rsidRDefault="000E6D94" w:rsidP="000E6D94">
      <w:pPr>
        <w:autoSpaceDE w:val="0"/>
        <w:autoSpaceDN w:val="0"/>
        <w:adjustRightInd w:val="0"/>
        <w:spacing w:after="0"/>
        <w:rPr>
          <w:rFonts w:cs="BaskervilleBE-Regular"/>
          <w:b/>
          <w:bCs/>
          <w:sz w:val="28"/>
          <w:szCs w:val="26"/>
        </w:rPr>
      </w:pPr>
      <w:r>
        <w:rPr>
          <w:rFonts w:cs="BaskervilleBE-Regular"/>
          <w:b/>
          <w:bCs/>
          <w:sz w:val="28"/>
          <w:szCs w:val="26"/>
        </w:rPr>
        <w:t xml:space="preserve">Définition </w:t>
      </w:r>
    </w:p>
    <w:p w:rsidR="000E6D94" w:rsidRDefault="000E6D94" w:rsidP="00100703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0E6D94">
        <w:rPr>
          <w:rFonts w:eastAsia="HelveticaNeue-Light" w:cs="HelveticaNeue-Light"/>
          <w:sz w:val="24"/>
          <w:szCs w:val="24"/>
        </w:rPr>
        <w:t>La contraception est une méthode utilisée afin d'empêcher de façon réversible et temporaire la fé</w:t>
      </w:r>
      <w:r w:rsidR="00100703">
        <w:rPr>
          <w:rFonts w:eastAsia="HelveticaNeue-Light" w:cs="HelveticaNeue-Light"/>
          <w:sz w:val="24"/>
          <w:szCs w:val="24"/>
        </w:rPr>
        <w:t>condation, et donc la grossesse</w:t>
      </w:r>
      <w:r w:rsidRPr="000E6D94">
        <w:rPr>
          <w:rFonts w:eastAsia="HelveticaNeue-Light" w:cs="HelveticaNeue-Light"/>
          <w:sz w:val="24"/>
          <w:szCs w:val="24"/>
        </w:rPr>
        <w:t>.</w:t>
      </w:r>
      <w:r>
        <w:rPr>
          <w:rFonts w:eastAsia="HelveticaNeue-Light" w:cs="HelveticaNeue-Light"/>
          <w:sz w:val="24"/>
          <w:szCs w:val="24"/>
        </w:rPr>
        <w:t xml:space="preserve"> </w:t>
      </w:r>
      <w:r w:rsidR="008063B8">
        <w:rPr>
          <w:rFonts w:eastAsia="HelveticaNeue-Light" w:cs="HelveticaNeue-Light"/>
          <w:sz w:val="24"/>
          <w:szCs w:val="24"/>
        </w:rPr>
        <w:t>L'efficacité de chaque méthode contraceptive est estimée</w:t>
      </w:r>
      <w:r w:rsidR="00AC4CF1">
        <w:rPr>
          <w:rFonts w:eastAsia="HelveticaNeue-Light" w:cs="HelveticaNeue-Light"/>
          <w:sz w:val="24"/>
          <w:szCs w:val="24"/>
        </w:rPr>
        <w:t xml:space="preserve"> par l'indice de Pearl</w:t>
      </w:r>
      <w:r w:rsidR="008063B8">
        <w:rPr>
          <w:rFonts w:eastAsia="HelveticaNeue-Light" w:cs="HelveticaNeue-Light"/>
          <w:sz w:val="24"/>
          <w:szCs w:val="24"/>
        </w:rPr>
        <w:t xml:space="preserve"> </w:t>
      </w:r>
      <w:r w:rsidR="008063B8" w:rsidRPr="008063B8">
        <w:rPr>
          <w:rFonts w:eastAsia="HelveticaNeue-Light" w:cs="HelveticaNeue-Light"/>
          <w:sz w:val="24"/>
          <w:szCs w:val="24"/>
        </w:rPr>
        <w:t>qui</w:t>
      </w:r>
      <w:r w:rsidR="009D5456">
        <w:rPr>
          <w:rFonts w:eastAsia="HelveticaNeue-Light" w:cs="HelveticaNeue-Light"/>
          <w:sz w:val="24"/>
          <w:szCs w:val="24"/>
        </w:rPr>
        <w:t xml:space="preserve"> </w:t>
      </w:r>
      <w:r w:rsidR="008063B8" w:rsidRPr="008063B8">
        <w:rPr>
          <w:rFonts w:eastAsia="HelveticaNeue-Light" w:cs="HelveticaNeue-Light"/>
          <w:sz w:val="24"/>
          <w:szCs w:val="24"/>
        </w:rPr>
        <w:t>désigne le nombre de grossesses survenant chez 100 femmes soumises pendant</w:t>
      </w:r>
      <w:r w:rsidR="009D5456">
        <w:rPr>
          <w:rFonts w:eastAsia="HelveticaNeue-Light" w:cs="HelveticaNeue-Light"/>
          <w:sz w:val="24"/>
          <w:szCs w:val="24"/>
        </w:rPr>
        <w:t xml:space="preserve"> </w:t>
      </w:r>
      <w:r w:rsidR="008063B8" w:rsidRPr="008063B8">
        <w:rPr>
          <w:rFonts w:eastAsia="HelveticaNeue-Light" w:cs="HelveticaNeue-Light"/>
          <w:sz w:val="24"/>
          <w:szCs w:val="24"/>
        </w:rPr>
        <w:t>1 an à un moyen de contraception donne.</w:t>
      </w:r>
    </w:p>
    <w:p w:rsidR="000E6D94" w:rsidRDefault="000E6D94" w:rsidP="008267C3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>Plusieurs méthodes contraceptives peuvent être envisagées.</w:t>
      </w:r>
      <w:r w:rsidR="00AC4CF1">
        <w:rPr>
          <w:rFonts w:eastAsia="HelveticaNeue-Light" w:cs="HelveticaNeue-Light"/>
          <w:sz w:val="24"/>
          <w:szCs w:val="24"/>
        </w:rPr>
        <w:t xml:space="preserve"> </w:t>
      </w:r>
    </w:p>
    <w:p w:rsidR="00387AAD" w:rsidRPr="00387AAD" w:rsidRDefault="00387AAD" w:rsidP="008267C3">
      <w:pPr>
        <w:autoSpaceDE w:val="0"/>
        <w:autoSpaceDN w:val="0"/>
        <w:adjustRightInd w:val="0"/>
        <w:spacing w:after="0"/>
        <w:jc w:val="both"/>
        <w:rPr>
          <w:rFonts w:eastAsia="HelveticaNeue-Light"/>
          <w:sz w:val="10"/>
          <w:szCs w:val="10"/>
        </w:rPr>
      </w:pPr>
    </w:p>
    <w:p w:rsidR="00387AAD" w:rsidRDefault="00387AAD" w:rsidP="00387AA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87AAD">
        <w:rPr>
          <w:b/>
          <w:bCs/>
          <w:sz w:val="24"/>
          <w:szCs w:val="24"/>
        </w:rPr>
        <w:t xml:space="preserve">Efficacité comparative des différentes méthodes contraceptives : méthode de 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87AAD">
        <w:rPr>
          <w:b/>
          <w:bCs/>
          <w:sz w:val="24"/>
          <w:szCs w:val="24"/>
        </w:rPr>
        <w:t>l’indice</w:t>
      </w:r>
      <w:r>
        <w:rPr>
          <w:b/>
          <w:bCs/>
          <w:sz w:val="24"/>
          <w:szCs w:val="24"/>
        </w:rPr>
        <w:t xml:space="preserve"> </w:t>
      </w:r>
      <w:r w:rsidRPr="00387AAD">
        <w:rPr>
          <w:b/>
          <w:bCs/>
          <w:sz w:val="24"/>
          <w:szCs w:val="24"/>
        </w:rPr>
        <w:t>de Pearl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proofErr w:type="spellStart"/>
      <w:r w:rsidRPr="00387AAD">
        <w:rPr>
          <w:rFonts w:cs="TimesNewRomanPSMT"/>
          <w:sz w:val="24"/>
          <w:szCs w:val="24"/>
        </w:rPr>
        <w:t>Oestro</w:t>
      </w:r>
      <w:proofErr w:type="spellEnd"/>
      <w:r w:rsidRPr="00387AAD">
        <w:rPr>
          <w:rFonts w:cs="TimesNewRomanPSMT"/>
          <w:sz w:val="24"/>
          <w:szCs w:val="24"/>
        </w:rPr>
        <w:t>-progestatifs combinés 0%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proofErr w:type="spellStart"/>
      <w:r w:rsidRPr="00387AAD">
        <w:rPr>
          <w:rFonts w:cs="TimesNewRomanPSMT"/>
          <w:sz w:val="24"/>
          <w:szCs w:val="24"/>
        </w:rPr>
        <w:t>Microprogestatifs</w:t>
      </w:r>
      <w:proofErr w:type="spellEnd"/>
      <w:r w:rsidRPr="00387AAD">
        <w:rPr>
          <w:rFonts w:cs="TimesNewRomanPSMT"/>
          <w:sz w:val="24"/>
          <w:szCs w:val="24"/>
        </w:rPr>
        <w:t xml:space="preserve"> 0,5-2%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r w:rsidRPr="00387AAD">
        <w:rPr>
          <w:rFonts w:cs="TimesNewRomanPSMT"/>
          <w:sz w:val="24"/>
          <w:szCs w:val="24"/>
        </w:rPr>
        <w:t>Dispositif intra-utérin 0,5-2%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r w:rsidRPr="00387AAD">
        <w:rPr>
          <w:rFonts w:cs="TimesNewRomanPSMT"/>
          <w:sz w:val="24"/>
          <w:szCs w:val="24"/>
        </w:rPr>
        <w:t>Ovules 0,6-0,8%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r>
        <w:rPr>
          <w:rFonts w:cs="TimesNewRomanPSMT"/>
          <w:sz w:val="24"/>
          <w:szCs w:val="24"/>
        </w:rPr>
        <w:t>S</w:t>
      </w:r>
      <w:r w:rsidRPr="00387AAD">
        <w:rPr>
          <w:rFonts w:cs="TimesNewRomanPSMT"/>
          <w:sz w:val="24"/>
          <w:szCs w:val="24"/>
        </w:rPr>
        <w:t>permicides 0,6-6,8%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r>
        <w:rPr>
          <w:rFonts w:cs="SymbolMT"/>
          <w:sz w:val="24"/>
          <w:szCs w:val="24"/>
        </w:rPr>
        <w:t>T</w:t>
      </w:r>
      <w:r w:rsidRPr="00387AAD">
        <w:rPr>
          <w:rFonts w:cs="TimesNewRomanPSMT"/>
          <w:sz w:val="24"/>
          <w:szCs w:val="24"/>
        </w:rPr>
        <w:t>ampons, éponges 3,5%</w:t>
      </w:r>
    </w:p>
    <w:p w:rsidR="00387AAD" w:rsidRPr="00387AAD" w:rsidRDefault="00387AAD" w:rsidP="00387AAD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387AAD">
        <w:rPr>
          <w:rFonts w:cs="SymbolMT"/>
          <w:sz w:val="24"/>
          <w:szCs w:val="24"/>
        </w:rPr>
        <w:t xml:space="preserve">• </w:t>
      </w:r>
      <w:r w:rsidRPr="00387AAD">
        <w:rPr>
          <w:rFonts w:cs="TimesNewRomanPSMT"/>
          <w:sz w:val="24"/>
          <w:szCs w:val="24"/>
        </w:rPr>
        <w:t>Continence périodique 15%</w:t>
      </w:r>
    </w:p>
    <w:p w:rsidR="009D5456" w:rsidRPr="00EF3BC2" w:rsidRDefault="00305BB7" w:rsidP="00EF3BC2">
      <w:pPr>
        <w:autoSpaceDE w:val="0"/>
        <w:autoSpaceDN w:val="0"/>
        <w:adjustRightInd w:val="0"/>
        <w:spacing w:after="0" w:line="240" w:lineRule="auto"/>
        <w:rPr>
          <w:rFonts w:eastAsia="HelveticaNeue-Light" w:cs="HelveticaNeue-Light"/>
          <w:sz w:val="20"/>
          <w:szCs w:val="20"/>
        </w:rPr>
      </w:pPr>
      <w:r>
        <w:rPr>
          <w:rFonts w:eastAsia="HelveticaNeue-Light" w:cs="HelveticaNeue-Light"/>
          <w:sz w:val="24"/>
          <w:szCs w:val="24"/>
        </w:rPr>
        <w:t xml:space="preserve"> </w:t>
      </w:r>
    </w:p>
    <w:p w:rsidR="000E6D94" w:rsidRPr="00183522" w:rsidRDefault="000E6D94" w:rsidP="00314227">
      <w:pPr>
        <w:autoSpaceDE w:val="0"/>
        <w:autoSpaceDN w:val="0"/>
        <w:adjustRightInd w:val="0"/>
        <w:spacing w:after="0" w:line="360" w:lineRule="auto"/>
        <w:rPr>
          <w:rFonts w:eastAsia="HelveticaNeue-Light" w:cs="HelveticaNeue-Light"/>
          <w:b/>
          <w:bCs/>
          <w:sz w:val="24"/>
          <w:szCs w:val="24"/>
        </w:rPr>
      </w:pPr>
      <w:r w:rsidRPr="00183522">
        <w:rPr>
          <w:rFonts w:eastAsia="HelveticaNeue-Light" w:cs="HelveticaNeue-Light"/>
          <w:b/>
          <w:bCs/>
          <w:sz w:val="24"/>
          <w:szCs w:val="24"/>
        </w:rPr>
        <w:t xml:space="preserve">Méthodes contraceptives </w:t>
      </w:r>
    </w:p>
    <w:p w:rsidR="000E6D94" w:rsidRPr="00183522" w:rsidRDefault="000E6D94" w:rsidP="00314227">
      <w:pPr>
        <w:pStyle w:val="Paragraphedeliste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HelveticaNeue-BoldCond"/>
          <w:b/>
          <w:bCs/>
          <w:color w:val="000000"/>
          <w:sz w:val="24"/>
          <w:szCs w:val="24"/>
        </w:rPr>
      </w:pPr>
      <w:r w:rsidRPr="00183522">
        <w:rPr>
          <w:rFonts w:cs="HelveticaNeue-BoldCond"/>
          <w:b/>
          <w:bCs/>
          <w:color w:val="000000"/>
          <w:sz w:val="24"/>
          <w:szCs w:val="24"/>
        </w:rPr>
        <w:t>Contraception hormonale</w:t>
      </w:r>
    </w:p>
    <w:p w:rsidR="000E6D94" w:rsidRPr="00183522" w:rsidRDefault="000E6D94" w:rsidP="008267C3">
      <w:pPr>
        <w:pStyle w:val="Paragraphedeliste"/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hanging="11"/>
        <w:rPr>
          <w:rFonts w:eastAsia="HelveticaNeue-Light" w:cs="HelveticaNeue-Light"/>
          <w:b/>
          <w:bCs/>
          <w:sz w:val="24"/>
          <w:szCs w:val="24"/>
        </w:rPr>
      </w:pPr>
      <w:r w:rsidRPr="00183522">
        <w:rPr>
          <w:rFonts w:cs="HelveticaNeue-Medium"/>
          <w:b/>
          <w:bCs/>
          <w:color w:val="00A1E4"/>
          <w:sz w:val="24"/>
          <w:szCs w:val="24"/>
        </w:rPr>
        <w:t>Contraception o</w:t>
      </w:r>
      <w:r w:rsidRPr="00AC48A3">
        <w:rPr>
          <w:rFonts w:cs="HelveticaNeue-Medium"/>
          <w:b/>
          <w:bCs/>
          <w:color w:val="00B0F0"/>
          <w:sz w:val="24"/>
          <w:szCs w:val="24"/>
        </w:rPr>
        <w:t>estropr</w:t>
      </w:r>
      <w:r w:rsidRPr="00183522">
        <w:rPr>
          <w:rFonts w:cs="HelveticaNeue-Medium"/>
          <w:b/>
          <w:bCs/>
          <w:color w:val="00A1E4"/>
          <w:sz w:val="24"/>
          <w:szCs w:val="24"/>
        </w:rPr>
        <w:t>ogestative</w:t>
      </w:r>
    </w:p>
    <w:p w:rsidR="000E6D94" w:rsidRPr="00183522" w:rsidRDefault="000E6D94" w:rsidP="00100703">
      <w:pPr>
        <w:autoSpaceDE w:val="0"/>
        <w:autoSpaceDN w:val="0"/>
        <w:adjustRightInd w:val="0"/>
        <w:jc w:val="both"/>
        <w:rPr>
          <w:rFonts w:eastAsia="HelveticaNeue-Light" w:cs="HelveticaNeue-Light"/>
          <w:sz w:val="24"/>
          <w:szCs w:val="24"/>
        </w:rPr>
      </w:pPr>
      <w:r w:rsidRPr="00183522">
        <w:rPr>
          <w:rFonts w:eastAsia="HelveticaNeue-Light" w:cs="HelveticaNeue-Light"/>
          <w:sz w:val="24"/>
          <w:szCs w:val="24"/>
        </w:rPr>
        <w:t xml:space="preserve">Il s’agit du premier moyen de contraception </w:t>
      </w:r>
      <w:r w:rsidR="0024153A" w:rsidRPr="00183522">
        <w:rPr>
          <w:rFonts w:eastAsia="HelveticaNeue-Light" w:cs="HelveticaNeue-Light"/>
          <w:sz w:val="24"/>
          <w:szCs w:val="24"/>
        </w:rPr>
        <w:t>utilisé</w:t>
      </w:r>
      <w:r w:rsidRPr="00183522">
        <w:rPr>
          <w:rFonts w:eastAsia="HelveticaNeue-Light" w:cs="HelveticaNeue-Light"/>
          <w:sz w:val="24"/>
          <w:szCs w:val="24"/>
        </w:rPr>
        <w:t xml:space="preserve"> par les femmes</w:t>
      </w:r>
      <w:r w:rsidR="00100703">
        <w:rPr>
          <w:rFonts w:eastAsia="HelveticaNeue-Light" w:cs="HelveticaNeue-Light"/>
          <w:sz w:val="24"/>
          <w:szCs w:val="24"/>
        </w:rPr>
        <w:t xml:space="preserve">. Elle composée de l'association d'un œstrogène et d'un progestatif. Elle est </w:t>
      </w:r>
      <w:r w:rsidRPr="00183522">
        <w:rPr>
          <w:rFonts w:eastAsia="HelveticaNeue-Light" w:cs="HelveticaNeue-Light"/>
          <w:sz w:val="24"/>
          <w:szCs w:val="24"/>
        </w:rPr>
        <w:t>recommand</w:t>
      </w:r>
      <w:r w:rsidR="00100703">
        <w:rPr>
          <w:rFonts w:eastAsia="HelveticaNeue-Light" w:cs="HelveticaNeue-Light"/>
          <w:sz w:val="24"/>
          <w:szCs w:val="24"/>
        </w:rPr>
        <w:t>é</w:t>
      </w:r>
      <w:r w:rsidRPr="00183522">
        <w:rPr>
          <w:rFonts w:eastAsia="HelveticaNeue-Light" w:cs="HelveticaNeue-Light"/>
          <w:sz w:val="24"/>
          <w:szCs w:val="24"/>
        </w:rPr>
        <w:t>e en première intention chez les femmes sans facteur de risque particulier (cardiovasculaire, oncologique, hépatique…).</w:t>
      </w:r>
    </w:p>
    <w:p w:rsidR="000E6D94" w:rsidRPr="00183522" w:rsidRDefault="000E6D94" w:rsidP="00100703">
      <w:pPr>
        <w:pStyle w:val="Paragraphedeliste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/>
        <w:ind w:left="993" w:hanging="11"/>
        <w:jc w:val="both"/>
        <w:rPr>
          <w:rFonts w:cs="HelveticaNeue-MediumCond"/>
          <w:b/>
          <w:bCs/>
          <w:sz w:val="24"/>
          <w:szCs w:val="24"/>
        </w:rPr>
      </w:pPr>
      <w:r w:rsidRPr="00183522">
        <w:rPr>
          <w:rFonts w:cs="HelveticaNeue-MediumCond"/>
          <w:b/>
          <w:bCs/>
          <w:sz w:val="24"/>
          <w:szCs w:val="24"/>
        </w:rPr>
        <w:t>Mode d’action</w:t>
      </w:r>
    </w:p>
    <w:p w:rsidR="00100703" w:rsidRDefault="00100703" w:rsidP="00100703">
      <w:pPr>
        <w:pStyle w:val="Paragraphedeliste"/>
        <w:autoSpaceDE w:val="0"/>
        <w:autoSpaceDN w:val="0"/>
        <w:adjustRightInd w:val="0"/>
        <w:spacing w:after="0"/>
        <w:ind w:left="0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>Il est triple:</w:t>
      </w:r>
    </w:p>
    <w:p w:rsidR="00100703" w:rsidRPr="00100703" w:rsidRDefault="000E6D94" w:rsidP="00100703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  <w:r w:rsidRPr="00183522">
        <w:rPr>
          <w:rFonts w:eastAsia="HelveticaNeue-Light" w:cs="HelveticaNeue-Light"/>
          <w:sz w:val="24"/>
          <w:szCs w:val="24"/>
        </w:rPr>
        <w:t xml:space="preserve">blocage de l'ovulation, </w:t>
      </w:r>
    </w:p>
    <w:p w:rsidR="00100703" w:rsidRPr="00100703" w:rsidRDefault="000E6D94" w:rsidP="00100703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TimesNewRomanPS-BoldMT"/>
          <w:b/>
          <w:bCs/>
          <w:sz w:val="24"/>
          <w:szCs w:val="24"/>
        </w:rPr>
      </w:pPr>
      <w:r w:rsidRPr="00183522">
        <w:rPr>
          <w:rFonts w:eastAsia="HelveticaNeue-Light" w:cs="HelveticaNeue-Light"/>
          <w:sz w:val="24"/>
          <w:szCs w:val="24"/>
        </w:rPr>
        <w:t xml:space="preserve">atrophie éndometriale </w:t>
      </w:r>
    </w:p>
    <w:p w:rsidR="00100703" w:rsidRDefault="000E6D94" w:rsidP="00100703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rPr>
          <w:rFonts w:cs="TimesNewRomanPS-BoldMT"/>
          <w:b/>
          <w:bCs/>
          <w:sz w:val="24"/>
          <w:szCs w:val="24"/>
        </w:rPr>
      </w:pPr>
      <w:r w:rsidRPr="00183522">
        <w:rPr>
          <w:rFonts w:eastAsia="HelveticaNeue-Light" w:cs="HelveticaNeue-Light"/>
          <w:sz w:val="24"/>
          <w:szCs w:val="24"/>
        </w:rPr>
        <w:t>modification de la glaire cervicale la rendant</w:t>
      </w:r>
      <w:r w:rsidR="0024153A" w:rsidRPr="00183522">
        <w:rPr>
          <w:rFonts w:eastAsia="HelveticaNeue-Light" w:cs="HelveticaNeue-Light"/>
          <w:sz w:val="24"/>
          <w:szCs w:val="24"/>
        </w:rPr>
        <w:t xml:space="preserve"> </w:t>
      </w:r>
      <w:r w:rsidR="00100703">
        <w:rPr>
          <w:rFonts w:eastAsia="HelveticaNeue-Light" w:cs="HelveticaNeue-Light"/>
          <w:sz w:val="24"/>
          <w:szCs w:val="24"/>
        </w:rPr>
        <w:t>impropre à</w:t>
      </w:r>
      <w:r w:rsidRPr="00183522">
        <w:rPr>
          <w:rFonts w:eastAsia="HelveticaNeue-Light" w:cs="HelveticaNeue-Light"/>
          <w:sz w:val="24"/>
          <w:szCs w:val="24"/>
        </w:rPr>
        <w:t xml:space="preserve"> la pénétration des spermatozoïdes.</w:t>
      </w:r>
    </w:p>
    <w:p w:rsidR="00100703" w:rsidRPr="00100703" w:rsidRDefault="00100703" w:rsidP="00100703">
      <w:pPr>
        <w:pStyle w:val="Paragraphedeliste"/>
        <w:autoSpaceDE w:val="0"/>
        <w:autoSpaceDN w:val="0"/>
        <w:adjustRightInd w:val="0"/>
        <w:spacing w:after="0"/>
        <w:ind w:left="0"/>
        <w:rPr>
          <w:rFonts w:cs="TimesNewRomanPS-BoldMT"/>
          <w:b/>
          <w:bCs/>
          <w:sz w:val="12"/>
          <w:szCs w:val="12"/>
        </w:rPr>
      </w:pPr>
    </w:p>
    <w:p w:rsidR="00183522" w:rsidRPr="00DE25E9" w:rsidRDefault="00183522" w:rsidP="00100703">
      <w:pPr>
        <w:pStyle w:val="Paragraphedeliste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/>
        <w:ind w:left="1276"/>
        <w:jc w:val="both"/>
        <w:rPr>
          <w:rFonts w:cs="HelveticaNeue-MediumCond"/>
          <w:b/>
          <w:bCs/>
          <w:sz w:val="24"/>
          <w:szCs w:val="24"/>
        </w:rPr>
      </w:pPr>
      <w:r w:rsidRPr="00DE25E9">
        <w:rPr>
          <w:rFonts w:cs="HelveticaNeue-MediumCond"/>
          <w:b/>
          <w:bCs/>
          <w:sz w:val="24"/>
          <w:szCs w:val="24"/>
        </w:rPr>
        <w:t>Modalités et voies d’administration</w:t>
      </w:r>
    </w:p>
    <w:p w:rsidR="00424D86" w:rsidRDefault="00183522" w:rsidP="00100703">
      <w:pPr>
        <w:pStyle w:val="Paragraphedeliste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eastAsia="HelveticaNeue-Light" w:cs="HelveticaNeue-Light"/>
          <w:sz w:val="24"/>
          <w:szCs w:val="24"/>
        </w:rPr>
      </w:pPr>
      <w:r w:rsidRPr="00DE25E9">
        <w:rPr>
          <w:rFonts w:eastAsia="HelveticaNeue-Light" w:cs="HelveticaNeue-Light"/>
          <w:sz w:val="24"/>
          <w:szCs w:val="24"/>
        </w:rPr>
        <w:t xml:space="preserve">La contraception oestroprogestative est disponible par voie orale, cutanée et vaginale. </w:t>
      </w:r>
    </w:p>
    <w:p w:rsidR="00424D86" w:rsidRPr="00100703" w:rsidRDefault="00183522" w:rsidP="00424D86">
      <w:pPr>
        <w:pStyle w:val="Paragraphedeliste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100703">
        <w:rPr>
          <w:rFonts w:eastAsia="HelveticaNeue-Light" w:cs="HelveticaNeue-Light"/>
          <w:sz w:val="24"/>
          <w:szCs w:val="24"/>
        </w:rPr>
        <w:t>La voie orale</w:t>
      </w:r>
      <w:r w:rsidR="00100703" w:rsidRPr="00100703">
        <w:rPr>
          <w:rFonts w:eastAsia="HelveticaNeue-Light" w:cs="HelveticaNeue-Light"/>
          <w:sz w:val="24"/>
          <w:szCs w:val="24"/>
        </w:rPr>
        <w:t>: c</w:t>
      </w:r>
      <w:r w:rsidRPr="00100703">
        <w:rPr>
          <w:rFonts w:eastAsia="HelveticaNeue-Light" w:cs="HelveticaNeue-Light"/>
          <w:sz w:val="24"/>
          <w:szCs w:val="24"/>
        </w:rPr>
        <w:t xml:space="preserve">haque plaquette est composée de 21 ou 28 comprimes. L'initiation de la plaquette suivante est immédiate pour les plaquettes de 28 comprimes et après 7 jours d'interruption pour les plaquettes de 21 comprimes. </w:t>
      </w:r>
    </w:p>
    <w:p w:rsidR="00183522" w:rsidRPr="00424D86" w:rsidRDefault="00100703" w:rsidP="00100703">
      <w:pPr>
        <w:pStyle w:val="Paragraphedeliste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>La voie cutanée (</w:t>
      </w:r>
      <w:r w:rsidR="00183522" w:rsidRPr="00100703">
        <w:rPr>
          <w:rFonts w:eastAsia="HelveticaNeue-Light" w:cs="HelveticaNeue-Light"/>
          <w:sz w:val="24"/>
          <w:szCs w:val="24"/>
        </w:rPr>
        <w:t>patch</w:t>
      </w:r>
      <w:r>
        <w:rPr>
          <w:rFonts w:eastAsia="HelveticaNeue-Light" w:cs="HelveticaNeue-Light"/>
          <w:sz w:val="24"/>
          <w:szCs w:val="24"/>
        </w:rPr>
        <w:t xml:space="preserve">), </w:t>
      </w:r>
      <w:r w:rsidR="00183522" w:rsidRPr="00100703">
        <w:rPr>
          <w:rFonts w:eastAsia="HelveticaNeue-Light" w:cs="HelveticaNeue-Light"/>
          <w:sz w:val="24"/>
          <w:szCs w:val="24"/>
        </w:rPr>
        <w:t>administré une fois par semaine penda</w:t>
      </w:r>
      <w:r>
        <w:rPr>
          <w:rFonts w:eastAsia="HelveticaNeue-Light" w:cs="HelveticaNeue-Light"/>
          <w:sz w:val="24"/>
          <w:szCs w:val="24"/>
        </w:rPr>
        <w:t>nt trois semaines consécutives,</w:t>
      </w:r>
      <w:r w:rsidR="00183522" w:rsidRPr="00100703">
        <w:rPr>
          <w:rFonts w:eastAsia="HelveticaNeue-Light" w:cs="HelveticaNeue-Light"/>
          <w:sz w:val="24"/>
          <w:szCs w:val="24"/>
        </w:rPr>
        <w:t xml:space="preserve"> puis 1 semaine d</w:t>
      </w:r>
      <w:r w:rsidR="00424D86" w:rsidRPr="00100703">
        <w:rPr>
          <w:rFonts w:eastAsia="HelveticaNeue-Light" w:cs="HelveticaNeue-Light"/>
          <w:sz w:val="24"/>
          <w:szCs w:val="24"/>
        </w:rPr>
        <w:t>'</w:t>
      </w:r>
      <w:r w:rsidR="00183522" w:rsidRPr="00100703">
        <w:rPr>
          <w:rFonts w:eastAsia="HelveticaNeue-Light" w:cs="HelveticaNeue-Light"/>
          <w:sz w:val="24"/>
          <w:szCs w:val="24"/>
        </w:rPr>
        <w:t xml:space="preserve">interruption. </w:t>
      </w:r>
    </w:p>
    <w:p w:rsidR="00AC23FC" w:rsidRDefault="00100703" w:rsidP="00314227">
      <w:pPr>
        <w:pStyle w:val="Paragraphedeliste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lastRenderedPageBreak/>
        <w:t>La voie vaginale (</w:t>
      </w:r>
      <w:r w:rsidR="00183522" w:rsidRPr="00424D86">
        <w:rPr>
          <w:rFonts w:eastAsia="HelveticaNeue-Light" w:cs="HelveticaNeue-Light"/>
          <w:sz w:val="24"/>
          <w:szCs w:val="24"/>
        </w:rPr>
        <w:t xml:space="preserve">anneau </w:t>
      </w:r>
      <w:proofErr w:type="spellStart"/>
      <w:r w:rsidR="00183522" w:rsidRPr="00424D86">
        <w:rPr>
          <w:rFonts w:eastAsia="HelveticaNeue-Light" w:cs="HelveticaNeue-Light"/>
          <w:sz w:val="24"/>
          <w:szCs w:val="24"/>
        </w:rPr>
        <w:t>Nuvaring</w:t>
      </w:r>
      <w:proofErr w:type="spellEnd"/>
      <w:r>
        <w:rPr>
          <w:rFonts w:eastAsia="HelveticaNeue-Light" w:cs="HelveticaNeue-Light"/>
          <w:sz w:val="24"/>
          <w:szCs w:val="24"/>
        </w:rPr>
        <w:t>)</w:t>
      </w:r>
      <w:r w:rsidR="00183522" w:rsidRPr="00424D86">
        <w:rPr>
          <w:rFonts w:eastAsia="HelveticaNeue-Light" w:cs="HelveticaNeue-Light"/>
          <w:sz w:val="24"/>
          <w:szCs w:val="24"/>
        </w:rPr>
        <w:t xml:space="preserve"> : un anneau unique pendant 3 semaines, puis une semaine d</w:t>
      </w:r>
      <w:r w:rsidR="00424D86" w:rsidRPr="00424D86">
        <w:rPr>
          <w:rFonts w:eastAsia="HelveticaNeue-Light" w:cs="HelveticaNeue-Light"/>
          <w:sz w:val="24"/>
          <w:szCs w:val="24"/>
        </w:rPr>
        <w:t>'</w:t>
      </w:r>
      <w:r w:rsidR="00183522" w:rsidRPr="00424D86">
        <w:rPr>
          <w:rFonts w:eastAsia="HelveticaNeue-Light" w:cs="HelveticaNeue-Light"/>
          <w:sz w:val="24"/>
          <w:szCs w:val="24"/>
        </w:rPr>
        <w:t>interruption.</w:t>
      </w:r>
    </w:p>
    <w:p w:rsidR="00314227" w:rsidRPr="00314227" w:rsidRDefault="00314227" w:rsidP="00314227">
      <w:pPr>
        <w:pStyle w:val="Paragraphedeliste"/>
        <w:tabs>
          <w:tab w:val="left" w:pos="1276"/>
        </w:tabs>
        <w:autoSpaceDE w:val="0"/>
        <w:autoSpaceDN w:val="0"/>
        <w:adjustRightInd w:val="0"/>
        <w:jc w:val="both"/>
        <w:rPr>
          <w:rFonts w:eastAsia="HelveticaNeue-Light" w:cs="HelveticaNeue-Light"/>
          <w:sz w:val="20"/>
          <w:szCs w:val="20"/>
        </w:rPr>
      </w:pPr>
    </w:p>
    <w:p w:rsidR="00AC23FC" w:rsidRPr="00AC23FC" w:rsidRDefault="00E87856" w:rsidP="00314227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cs="HelveticaNeue-Medium"/>
          <w:b/>
          <w:bCs/>
          <w:color w:val="00A1E4"/>
          <w:sz w:val="24"/>
          <w:szCs w:val="24"/>
        </w:rPr>
      </w:pPr>
      <w:r>
        <w:rPr>
          <w:rFonts w:cs="HelveticaNeue-Medium"/>
          <w:b/>
          <w:bCs/>
          <w:color w:val="00A1E4"/>
          <w:sz w:val="24"/>
          <w:szCs w:val="24"/>
        </w:rPr>
        <w:t xml:space="preserve">Contraception </w:t>
      </w:r>
      <w:r w:rsidR="00AC23FC" w:rsidRPr="00AC23FC">
        <w:rPr>
          <w:rFonts w:cs="HelveticaNeue-Medium"/>
          <w:b/>
          <w:bCs/>
          <w:color w:val="00A1E4"/>
          <w:sz w:val="24"/>
          <w:szCs w:val="24"/>
        </w:rPr>
        <w:t>progestative</w:t>
      </w:r>
    </w:p>
    <w:p w:rsidR="00314227" w:rsidRPr="00314227" w:rsidRDefault="00314227" w:rsidP="00E87856">
      <w:pPr>
        <w:autoSpaceDE w:val="0"/>
        <w:autoSpaceDN w:val="0"/>
        <w:adjustRightInd w:val="0"/>
        <w:jc w:val="both"/>
        <w:rPr>
          <w:rFonts w:cs="TimesNewRomanPSMT"/>
          <w:sz w:val="24"/>
          <w:szCs w:val="25"/>
        </w:rPr>
      </w:pPr>
      <w:r>
        <w:rPr>
          <w:rFonts w:cs="TimesNewRomanPSMT"/>
          <w:sz w:val="24"/>
          <w:szCs w:val="25"/>
        </w:rPr>
        <w:t>Elle est c</w:t>
      </w:r>
      <w:r w:rsidR="00AC23FC" w:rsidRPr="00AC23FC">
        <w:rPr>
          <w:rFonts w:cs="TimesNewRomanPSMT"/>
          <w:sz w:val="24"/>
          <w:szCs w:val="25"/>
        </w:rPr>
        <w:t>onstituée d’un progestatif de synthèse</w:t>
      </w:r>
      <w:r w:rsidR="00AC23FC">
        <w:rPr>
          <w:rFonts w:cs="TimesNewRomanPSMT"/>
          <w:sz w:val="24"/>
          <w:szCs w:val="25"/>
        </w:rPr>
        <w:t xml:space="preserve"> </w:t>
      </w:r>
      <w:r>
        <w:rPr>
          <w:rFonts w:cs="TimesNewRomanPSMT"/>
          <w:sz w:val="24"/>
          <w:szCs w:val="25"/>
        </w:rPr>
        <w:t xml:space="preserve">et </w:t>
      </w:r>
      <w:r w:rsidR="00AC23FC" w:rsidRPr="00AC23FC">
        <w:rPr>
          <w:rFonts w:cs="TimesNewRomanPSMT"/>
          <w:sz w:val="24"/>
          <w:szCs w:val="25"/>
        </w:rPr>
        <w:t>est principalement indiquée en</w:t>
      </w:r>
      <w:r w:rsidR="00AC23FC">
        <w:rPr>
          <w:rFonts w:cs="TimesNewRomanPSMT"/>
          <w:sz w:val="24"/>
          <w:szCs w:val="25"/>
        </w:rPr>
        <w:t xml:space="preserve"> cas de contre-indication à</w:t>
      </w:r>
      <w:r w:rsidR="00AC23FC" w:rsidRPr="00AC23FC">
        <w:rPr>
          <w:rFonts w:cs="TimesNewRomanPSMT"/>
          <w:sz w:val="24"/>
          <w:szCs w:val="25"/>
        </w:rPr>
        <w:t xml:space="preserve"> l’administration d’</w:t>
      </w:r>
      <w:r w:rsidR="00AC23FC">
        <w:rPr>
          <w:rFonts w:cs="TimesNewRomanPSMT"/>
          <w:sz w:val="24"/>
          <w:szCs w:val="25"/>
        </w:rPr>
        <w:t>œ</w:t>
      </w:r>
      <w:r w:rsidR="00AC23FC" w:rsidRPr="00AC23FC">
        <w:rPr>
          <w:rFonts w:cs="TimesNewRomanPSMT"/>
          <w:sz w:val="24"/>
          <w:szCs w:val="25"/>
        </w:rPr>
        <w:t>strogènes</w:t>
      </w:r>
      <w:r>
        <w:rPr>
          <w:rFonts w:cs="TimesNewRomanPSMT"/>
          <w:sz w:val="24"/>
          <w:szCs w:val="25"/>
        </w:rPr>
        <w:t>.</w:t>
      </w:r>
    </w:p>
    <w:p w:rsidR="00AC23FC" w:rsidRPr="00AC23FC" w:rsidRDefault="00AC23FC" w:rsidP="00E87856">
      <w:pPr>
        <w:pStyle w:val="Paragraphedeliste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hanging="4329"/>
        <w:jc w:val="both"/>
        <w:rPr>
          <w:rFonts w:cs="HelveticaNeue-MediumCond"/>
          <w:b/>
          <w:bCs/>
          <w:sz w:val="24"/>
          <w:szCs w:val="24"/>
        </w:rPr>
      </w:pPr>
      <w:r w:rsidRPr="00AC23FC">
        <w:rPr>
          <w:rFonts w:cs="HelveticaNeue-MediumCond"/>
          <w:b/>
          <w:bCs/>
          <w:sz w:val="24"/>
          <w:szCs w:val="24"/>
        </w:rPr>
        <w:t>Mode d’action et d’administration</w:t>
      </w:r>
    </w:p>
    <w:p w:rsidR="00EF3BC2" w:rsidRDefault="00EF3BC2" w:rsidP="00E87856">
      <w:p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5"/>
        </w:rPr>
      </w:pPr>
      <w:r w:rsidRPr="00EF3BC2">
        <w:rPr>
          <w:rFonts w:cs="TimesNewRomanPSMT"/>
          <w:sz w:val="24"/>
          <w:szCs w:val="25"/>
        </w:rPr>
        <w:t>Les progestatifs peuvent être utilisés selon 3 méthodes:</w:t>
      </w:r>
    </w:p>
    <w:p w:rsidR="00183522" w:rsidRDefault="00EF3BC2" w:rsidP="00E8785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5"/>
        </w:rPr>
      </w:pPr>
      <w:r w:rsidRPr="00EF3BC2">
        <w:rPr>
          <w:rFonts w:cs="TimesNewRomanPS-BoldMT"/>
          <w:b/>
          <w:bCs/>
          <w:sz w:val="24"/>
          <w:szCs w:val="25"/>
        </w:rPr>
        <w:t xml:space="preserve">Les </w:t>
      </w:r>
      <w:proofErr w:type="spellStart"/>
      <w:r w:rsidRPr="00EF3BC2">
        <w:rPr>
          <w:rFonts w:cs="TimesNewRomanPS-BoldMT"/>
          <w:b/>
          <w:bCs/>
          <w:sz w:val="24"/>
          <w:szCs w:val="25"/>
        </w:rPr>
        <w:t>micro-pilules</w:t>
      </w:r>
      <w:proofErr w:type="spellEnd"/>
      <w:r w:rsidRPr="00EF3BC2">
        <w:rPr>
          <w:rFonts w:cs="TimesNewRomanPS-BoldMT"/>
          <w:b/>
          <w:bCs/>
          <w:sz w:val="24"/>
          <w:szCs w:val="25"/>
        </w:rPr>
        <w:t xml:space="preserve"> </w:t>
      </w:r>
      <w:r w:rsidRPr="00EF3BC2">
        <w:rPr>
          <w:rFonts w:cs="TimesNewRomanPSMT"/>
          <w:sz w:val="24"/>
          <w:szCs w:val="25"/>
        </w:rPr>
        <w:t>très faiblement dosées en progestatifs entraînent essentiellement une modification de la glaire.</w:t>
      </w:r>
    </w:p>
    <w:p w:rsidR="00E87856" w:rsidRDefault="00EF3BC2" w:rsidP="00F16B1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5"/>
        </w:rPr>
      </w:pPr>
      <w:r w:rsidRPr="00183522">
        <w:rPr>
          <w:rFonts w:cs="TimesNewRomanPS-BoldMT"/>
          <w:b/>
          <w:bCs/>
          <w:sz w:val="24"/>
          <w:szCs w:val="25"/>
        </w:rPr>
        <w:t xml:space="preserve">Les macro-progestatifs </w:t>
      </w:r>
      <w:r w:rsidR="00E87856">
        <w:rPr>
          <w:rFonts w:cs="TimesNewRomanPSMT"/>
          <w:sz w:val="24"/>
          <w:szCs w:val="25"/>
        </w:rPr>
        <w:t xml:space="preserve">comportant de </w:t>
      </w:r>
      <w:r w:rsidR="00E87856" w:rsidRPr="00DA366C">
        <w:rPr>
          <w:rFonts w:eastAsia="HelveticaNeue-Light" w:cs="HelveticaNeue-Light"/>
          <w:sz w:val="24"/>
          <w:szCs w:val="24"/>
        </w:rPr>
        <w:t>fortes</w:t>
      </w:r>
      <w:r w:rsidR="00E87856">
        <w:rPr>
          <w:rFonts w:eastAsia="HelveticaNeue-Light" w:cs="HelveticaNeue-Light"/>
          <w:sz w:val="24"/>
          <w:szCs w:val="24"/>
        </w:rPr>
        <w:t xml:space="preserve"> </w:t>
      </w:r>
      <w:r w:rsidR="00E87856" w:rsidRPr="00DA366C">
        <w:rPr>
          <w:rFonts w:eastAsia="HelveticaNeue-Light" w:cs="HelveticaNeue-Light"/>
          <w:sz w:val="24"/>
          <w:szCs w:val="24"/>
        </w:rPr>
        <w:t>doses de progestatifs de synthèse.</w:t>
      </w:r>
      <w:r w:rsidR="00E87856">
        <w:rPr>
          <w:rFonts w:eastAsia="HelveticaNeue-Light" w:cs="HelveticaNeue-Light"/>
          <w:sz w:val="24"/>
          <w:szCs w:val="24"/>
        </w:rPr>
        <w:t xml:space="preserve"> Ces derniers sont contraceptifs par</w:t>
      </w:r>
      <w:r w:rsidR="00F16B16">
        <w:rPr>
          <w:rFonts w:eastAsia="HelveticaNeue-Light" w:cs="HelveticaNeue-Light"/>
          <w:sz w:val="24"/>
          <w:szCs w:val="24"/>
        </w:rPr>
        <w:t xml:space="preserve"> </w:t>
      </w:r>
      <w:r w:rsidR="00F16B16" w:rsidRPr="00183522">
        <w:rPr>
          <w:rFonts w:cs="TimesNewRomanPSMT"/>
          <w:sz w:val="24"/>
          <w:szCs w:val="25"/>
        </w:rPr>
        <w:t xml:space="preserve">inhibition des gonadotrophines hypophysaires et </w:t>
      </w:r>
      <w:r w:rsidR="00F16B16">
        <w:rPr>
          <w:rFonts w:cs="TimesNewRomanPSMT"/>
          <w:sz w:val="24"/>
          <w:szCs w:val="25"/>
        </w:rPr>
        <w:t>par action sur la glaire.</w:t>
      </w:r>
    </w:p>
    <w:p w:rsidR="00575F40" w:rsidRPr="00F16B16" w:rsidRDefault="00EF3BC2" w:rsidP="00F16B1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4"/>
          <w:szCs w:val="24"/>
        </w:rPr>
      </w:pPr>
      <w:proofErr w:type="spellStart"/>
      <w:r w:rsidRPr="00183522">
        <w:rPr>
          <w:rFonts w:cs="TimesNewRomanPS-BoldMT"/>
          <w:b/>
          <w:bCs/>
          <w:sz w:val="24"/>
          <w:szCs w:val="25"/>
        </w:rPr>
        <w:t>Implanon</w:t>
      </w:r>
      <w:proofErr w:type="spellEnd"/>
      <w:r w:rsidRPr="00183522">
        <w:rPr>
          <w:rFonts w:cs="TimesNewRomanPS-BoldMT"/>
          <w:b/>
          <w:bCs/>
          <w:sz w:val="24"/>
          <w:szCs w:val="25"/>
        </w:rPr>
        <w:t>®</w:t>
      </w:r>
      <w:r w:rsidR="00F16B16">
        <w:rPr>
          <w:rFonts w:cs="TimesNewRomanPSMT"/>
          <w:sz w:val="24"/>
          <w:szCs w:val="24"/>
        </w:rPr>
        <w:t xml:space="preserve"> réalisé</w:t>
      </w:r>
      <w:r w:rsidRPr="00183522">
        <w:rPr>
          <w:rFonts w:cs="TimesNewRomanPSMT"/>
          <w:sz w:val="24"/>
          <w:szCs w:val="24"/>
        </w:rPr>
        <w:t xml:space="preserve"> par la pose d’un</w:t>
      </w:r>
      <w:r w:rsidR="00F16B16">
        <w:rPr>
          <w:rFonts w:cs="TimesNewRomanPSMT"/>
          <w:sz w:val="24"/>
          <w:szCs w:val="24"/>
        </w:rPr>
        <w:t xml:space="preserve"> implant de progestatifs sous la peau</w:t>
      </w:r>
      <w:r w:rsidR="00183522" w:rsidRPr="00183522">
        <w:rPr>
          <w:rFonts w:cs="TimesNewRomanPSMT"/>
          <w:sz w:val="24"/>
          <w:szCs w:val="24"/>
        </w:rPr>
        <w:t>. Sa durée d’action est de 3 ans et son taux de succès très proche de 100 %.</w:t>
      </w:r>
    </w:p>
    <w:p w:rsidR="00316D2B" w:rsidRPr="00F16B16" w:rsidRDefault="00316D2B" w:rsidP="00DA366C">
      <w:pPr>
        <w:autoSpaceDE w:val="0"/>
        <w:autoSpaceDN w:val="0"/>
        <w:adjustRightInd w:val="0"/>
        <w:spacing w:after="0" w:line="240" w:lineRule="auto"/>
        <w:rPr>
          <w:rFonts w:eastAsia="HelveticaNeue-Light" w:cs="HelveticaNeue-Light"/>
          <w:sz w:val="20"/>
          <w:szCs w:val="20"/>
        </w:rPr>
      </w:pPr>
    </w:p>
    <w:p w:rsidR="00316D2B" w:rsidRPr="00F16B16" w:rsidRDefault="00316D2B" w:rsidP="00F16B1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HelveticaNeue-BoldCond"/>
          <w:b/>
          <w:bCs/>
          <w:sz w:val="24"/>
          <w:szCs w:val="24"/>
        </w:rPr>
      </w:pPr>
      <w:r w:rsidRPr="00F16B16">
        <w:rPr>
          <w:rFonts w:cs="HelveticaNeue-BoldCond"/>
          <w:b/>
          <w:bCs/>
          <w:sz w:val="24"/>
          <w:szCs w:val="24"/>
        </w:rPr>
        <w:t>Contraception intra-utérine</w:t>
      </w:r>
    </w:p>
    <w:p w:rsidR="00316D2B" w:rsidRPr="00F16B16" w:rsidRDefault="00F16B16" w:rsidP="00F16B16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>Il s'agit d'un m</w:t>
      </w:r>
      <w:r w:rsidR="00316D2B" w:rsidRPr="00F16B16">
        <w:rPr>
          <w:rFonts w:eastAsia="HelveticaNeue-Light" w:cs="HelveticaNeue-Light"/>
          <w:sz w:val="24"/>
          <w:szCs w:val="24"/>
        </w:rPr>
        <w:t>oyen de contraception fiable et peu contraignant</w:t>
      </w:r>
      <w:r w:rsidR="00575F40" w:rsidRPr="00F16B16">
        <w:rPr>
          <w:rFonts w:eastAsia="HelveticaNeue-Light" w:cs="HelveticaNeue-Light"/>
          <w:sz w:val="24"/>
          <w:szCs w:val="24"/>
        </w:rPr>
        <w:t>,</w:t>
      </w:r>
      <w:r>
        <w:rPr>
          <w:rFonts w:eastAsia="HelveticaNeue-Light" w:cs="HelveticaNeue-Light"/>
          <w:sz w:val="24"/>
          <w:szCs w:val="24"/>
        </w:rPr>
        <w:t xml:space="preserve"> autrefois </w:t>
      </w:r>
      <w:r w:rsidR="00575F40" w:rsidRPr="00F16B16">
        <w:rPr>
          <w:rFonts w:eastAsia="HelveticaNeue-Light" w:cs="HelveticaNeue-Light"/>
          <w:sz w:val="24"/>
          <w:szCs w:val="24"/>
        </w:rPr>
        <w:t xml:space="preserve">réservé aux femmes de plus de 35-40 ans, mais actuellement </w:t>
      </w:r>
      <w:r>
        <w:rPr>
          <w:rFonts w:eastAsia="HelveticaNeue-Light" w:cs="HelveticaNeue-Light"/>
          <w:sz w:val="24"/>
          <w:szCs w:val="24"/>
        </w:rPr>
        <w:t>indiqué</w:t>
      </w:r>
      <w:r w:rsidR="00575F40" w:rsidRPr="00F16B16">
        <w:rPr>
          <w:rFonts w:eastAsia="HelveticaNeue-Light" w:cs="HelveticaNeue-Light"/>
          <w:sz w:val="24"/>
          <w:szCs w:val="24"/>
        </w:rPr>
        <w:t xml:space="preserve"> chez la nullipare, sans aucun risque de stérilité tubaire.</w:t>
      </w:r>
    </w:p>
    <w:p w:rsidR="000B25B0" w:rsidRDefault="000B25B0" w:rsidP="00F16B16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 xml:space="preserve">Elle comporte: </w:t>
      </w:r>
    </w:p>
    <w:p w:rsidR="000B25B0" w:rsidRPr="00F16B16" w:rsidRDefault="000B25B0" w:rsidP="00F16B16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HelveticaNeue-Medium"/>
          <w:b/>
          <w:bCs/>
          <w:color w:val="00A1E4"/>
          <w:sz w:val="24"/>
          <w:szCs w:val="24"/>
        </w:rPr>
      </w:pPr>
      <w:r w:rsidRPr="00F16B16">
        <w:rPr>
          <w:rFonts w:cs="HelveticaNeue-Medium"/>
          <w:b/>
          <w:bCs/>
          <w:color w:val="00A1E4"/>
          <w:sz w:val="24"/>
          <w:szCs w:val="24"/>
        </w:rPr>
        <w:t>Dispositif intra-utérin au cuivre</w:t>
      </w:r>
      <w:r w:rsidRPr="00F16B16">
        <w:rPr>
          <w:rFonts w:eastAsia="HelveticaNeue-Light" w:cs="HelveticaNeue-Light"/>
          <w:color w:val="000000"/>
          <w:sz w:val="24"/>
          <w:szCs w:val="24"/>
        </w:rPr>
        <w:t xml:space="preserve">: </w:t>
      </w:r>
      <w:r w:rsidR="00F16B16">
        <w:rPr>
          <w:rFonts w:eastAsia="HelveticaNeue-Light" w:cs="HelveticaNeue-Light"/>
          <w:color w:val="000000"/>
          <w:sz w:val="24"/>
          <w:szCs w:val="24"/>
        </w:rPr>
        <w:t>dont l'</w:t>
      </w:r>
      <w:r w:rsidRPr="00F16B16">
        <w:rPr>
          <w:rFonts w:eastAsia="HelveticaNeue-Light" w:cs="HelveticaNeue-Light"/>
          <w:sz w:val="24"/>
          <w:szCs w:val="24"/>
        </w:rPr>
        <w:t>action est</w:t>
      </w:r>
      <w:r w:rsidRPr="00F16B16">
        <w:rPr>
          <w:rFonts w:cs="HelveticaNeue-Medium"/>
          <w:b/>
          <w:bCs/>
          <w:color w:val="00A1E4"/>
          <w:sz w:val="24"/>
          <w:szCs w:val="24"/>
        </w:rPr>
        <w:t xml:space="preserve"> </w:t>
      </w:r>
      <w:r w:rsidRPr="00F16B16">
        <w:rPr>
          <w:rFonts w:eastAsia="HelveticaNeue-Light" w:cs="HelveticaNeue-Light"/>
          <w:sz w:val="24"/>
          <w:szCs w:val="24"/>
        </w:rPr>
        <w:t>mixte, antinidatoire et surtout contraceptive avec une action toxique sur les spermatozoïdes.</w:t>
      </w:r>
    </w:p>
    <w:p w:rsidR="000B25B0" w:rsidRPr="00F16B16" w:rsidRDefault="000B25B0" w:rsidP="00F16B16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F16B16">
        <w:rPr>
          <w:rFonts w:cs="HelveticaNeue-Medium"/>
          <w:b/>
          <w:bCs/>
          <w:color w:val="00A1E4"/>
          <w:sz w:val="24"/>
          <w:szCs w:val="24"/>
        </w:rPr>
        <w:t xml:space="preserve">Système intra-utérin délivrant du </w:t>
      </w:r>
      <w:proofErr w:type="spellStart"/>
      <w:r w:rsidRPr="00F16B16">
        <w:rPr>
          <w:rFonts w:cs="HelveticaNeue-Medium"/>
          <w:b/>
          <w:bCs/>
          <w:color w:val="00A1E4"/>
          <w:sz w:val="24"/>
          <w:szCs w:val="24"/>
        </w:rPr>
        <w:t>lévonorgestrel</w:t>
      </w:r>
      <w:proofErr w:type="spellEnd"/>
      <w:r w:rsidR="00F16B16">
        <w:rPr>
          <w:rFonts w:cs="HelveticaNeue-Medium"/>
          <w:b/>
          <w:bCs/>
          <w:color w:val="00A1E4"/>
          <w:sz w:val="24"/>
          <w:szCs w:val="24"/>
        </w:rPr>
        <w:t>:</w:t>
      </w:r>
      <w:r w:rsidR="00BD453D" w:rsidRPr="00F16B16">
        <w:rPr>
          <w:rFonts w:cs="HelveticaNeue-Medium"/>
          <w:b/>
          <w:bCs/>
          <w:color w:val="00A1E4"/>
          <w:sz w:val="24"/>
          <w:szCs w:val="24"/>
        </w:rPr>
        <w:t xml:space="preserve"> </w:t>
      </w:r>
      <w:r w:rsidR="00F16B16">
        <w:rPr>
          <w:rFonts w:eastAsia="HelveticaNeue-Light" w:cs="HelveticaNeue-Light"/>
          <w:sz w:val="24"/>
          <w:szCs w:val="24"/>
        </w:rPr>
        <w:t xml:space="preserve">agit en induisant une </w:t>
      </w:r>
      <w:r w:rsidR="00BD453D" w:rsidRPr="00F16B16">
        <w:rPr>
          <w:rFonts w:eastAsia="HelveticaNeue-Light" w:cs="HelveticaNeue-Light"/>
          <w:sz w:val="24"/>
          <w:szCs w:val="24"/>
        </w:rPr>
        <w:t>atrophie endométriale la rendant impropre à l'implantation  et</w:t>
      </w:r>
      <w:r w:rsidR="00F16B16">
        <w:rPr>
          <w:rFonts w:eastAsia="HelveticaNeue-Light" w:cs="HelveticaNeue-Light"/>
          <w:sz w:val="24"/>
          <w:szCs w:val="24"/>
        </w:rPr>
        <w:t xml:space="preserve"> en </w:t>
      </w:r>
      <w:r w:rsidR="00BD453D" w:rsidRPr="00F16B16">
        <w:rPr>
          <w:rFonts w:eastAsia="HelveticaNeue-Light" w:cs="HelveticaNeue-Light"/>
          <w:sz w:val="24"/>
          <w:szCs w:val="24"/>
        </w:rPr>
        <w:t>altéra</w:t>
      </w:r>
      <w:r w:rsidR="00F16B16">
        <w:rPr>
          <w:rFonts w:eastAsia="HelveticaNeue-Light" w:cs="HelveticaNeue-Light"/>
          <w:sz w:val="24"/>
          <w:szCs w:val="24"/>
        </w:rPr>
        <w:t xml:space="preserve">nt </w:t>
      </w:r>
      <w:r w:rsidR="00BD453D" w:rsidRPr="00F16B16">
        <w:rPr>
          <w:rFonts w:eastAsia="HelveticaNeue-Light" w:cs="HelveticaNeue-Light"/>
          <w:sz w:val="24"/>
          <w:szCs w:val="24"/>
        </w:rPr>
        <w:t>la glaire cervicale la rendant</w:t>
      </w:r>
      <w:r w:rsidR="007C2FC6" w:rsidRPr="00F16B16">
        <w:rPr>
          <w:rFonts w:eastAsia="HelveticaNeue-Light" w:cs="HelveticaNeue-Light"/>
          <w:sz w:val="24"/>
          <w:szCs w:val="24"/>
        </w:rPr>
        <w:t xml:space="preserve"> impropre à </w:t>
      </w:r>
      <w:r w:rsidR="00BD453D" w:rsidRPr="00F16B16">
        <w:rPr>
          <w:rFonts w:eastAsia="HelveticaNeue-Light" w:cs="HelveticaNeue-Light"/>
          <w:sz w:val="24"/>
          <w:szCs w:val="24"/>
        </w:rPr>
        <w:t xml:space="preserve">la capacitation des </w:t>
      </w:r>
      <w:r w:rsidR="007C2FC6" w:rsidRPr="00F16B16">
        <w:rPr>
          <w:rFonts w:eastAsia="HelveticaNeue-Light" w:cs="HelveticaNeue-Light"/>
          <w:sz w:val="24"/>
          <w:szCs w:val="24"/>
        </w:rPr>
        <w:t>spermatozoïdes</w:t>
      </w:r>
      <w:r w:rsidR="00BD453D" w:rsidRPr="00F16B16">
        <w:rPr>
          <w:rFonts w:eastAsia="HelveticaNeue-Light" w:cs="HelveticaNeue-Light"/>
          <w:sz w:val="24"/>
          <w:szCs w:val="24"/>
        </w:rPr>
        <w:t>.</w:t>
      </w:r>
    </w:p>
    <w:p w:rsidR="001E06E6" w:rsidRPr="00387AAD" w:rsidRDefault="001E06E6" w:rsidP="007C2FC6">
      <w:pPr>
        <w:autoSpaceDE w:val="0"/>
        <w:autoSpaceDN w:val="0"/>
        <w:adjustRightInd w:val="0"/>
        <w:spacing w:after="0" w:line="240" w:lineRule="auto"/>
        <w:rPr>
          <w:rFonts w:eastAsia="HelveticaNeue-Light" w:cs="HelveticaNeue-Light"/>
          <w:sz w:val="18"/>
          <w:szCs w:val="18"/>
        </w:rPr>
      </w:pPr>
    </w:p>
    <w:p w:rsidR="003A259C" w:rsidRPr="00F2372E" w:rsidRDefault="003A259C" w:rsidP="004F0B9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HelveticaNeue-BoldCond"/>
          <w:b/>
          <w:bCs/>
          <w:sz w:val="24"/>
          <w:szCs w:val="24"/>
        </w:rPr>
      </w:pPr>
      <w:r w:rsidRPr="00F2372E">
        <w:rPr>
          <w:rFonts w:cs="HelveticaNeue-BoldCond"/>
          <w:b/>
          <w:bCs/>
          <w:sz w:val="24"/>
          <w:szCs w:val="24"/>
        </w:rPr>
        <w:t>Autres moyens contraceptifs</w:t>
      </w:r>
    </w:p>
    <w:p w:rsidR="003A259C" w:rsidRPr="001E06E6" w:rsidRDefault="003A259C" w:rsidP="00F2372E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HelveticaNeue-Medium"/>
          <w:b/>
          <w:bCs/>
          <w:color w:val="00A1E4"/>
          <w:sz w:val="24"/>
          <w:szCs w:val="24"/>
        </w:rPr>
      </w:pPr>
      <w:r w:rsidRPr="001E06E6">
        <w:rPr>
          <w:rFonts w:cs="HelveticaNeue-Medium"/>
          <w:b/>
          <w:bCs/>
          <w:color w:val="00A1E4"/>
          <w:sz w:val="24"/>
          <w:szCs w:val="24"/>
        </w:rPr>
        <w:t>Préservatif masculin</w:t>
      </w:r>
    </w:p>
    <w:p w:rsidR="003A259C" w:rsidRDefault="009D3736" w:rsidP="004F0B9E">
      <w:pPr>
        <w:autoSpaceDE w:val="0"/>
        <w:autoSpaceDN w:val="0"/>
        <w:adjustRightInd w:val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 xml:space="preserve">Il est </w:t>
      </w:r>
      <w:r w:rsidR="003A259C">
        <w:rPr>
          <w:rFonts w:eastAsia="HelveticaNeue-Light" w:cs="HelveticaNeue-Light"/>
          <w:sz w:val="24"/>
          <w:szCs w:val="24"/>
        </w:rPr>
        <w:t>préconisé surtout en association à une autre mé</w:t>
      </w:r>
      <w:r w:rsidR="004F0B9E">
        <w:rPr>
          <w:rFonts w:eastAsia="HelveticaNeue-Light" w:cs="HelveticaNeue-Light"/>
          <w:sz w:val="24"/>
          <w:szCs w:val="24"/>
        </w:rPr>
        <w:t>thode</w:t>
      </w:r>
      <w:r w:rsidR="003A259C" w:rsidRPr="003A259C">
        <w:rPr>
          <w:rFonts w:eastAsia="HelveticaNeue-Light" w:cs="HelveticaNeue-Light"/>
          <w:sz w:val="24"/>
          <w:szCs w:val="24"/>
        </w:rPr>
        <w:t xml:space="preserve"> afin de parfaire l</w:t>
      </w:r>
      <w:r w:rsidR="003A259C">
        <w:rPr>
          <w:rFonts w:eastAsia="HelveticaNeue-Light" w:cs="HelveticaNeue-Light"/>
          <w:sz w:val="24"/>
          <w:szCs w:val="24"/>
        </w:rPr>
        <w:t>'efficacité</w:t>
      </w:r>
      <w:r w:rsidR="003A259C" w:rsidRPr="003A259C">
        <w:rPr>
          <w:rFonts w:eastAsia="HelveticaNeue-Light" w:cs="HelveticaNeue-Light"/>
          <w:sz w:val="24"/>
          <w:szCs w:val="24"/>
        </w:rPr>
        <w:t xml:space="preserve"> contraceptive</w:t>
      </w:r>
      <w:r w:rsidR="003A259C">
        <w:rPr>
          <w:rFonts w:eastAsia="HelveticaNeue-Light" w:cs="HelveticaNeue-Light"/>
          <w:sz w:val="24"/>
          <w:szCs w:val="24"/>
        </w:rPr>
        <w:t>. Le pré</w:t>
      </w:r>
      <w:r w:rsidR="003A259C" w:rsidRPr="003A259C">
        <w:rPr>
          <w:rFonts w:eastAsia="HelveticaNeue-Light" w:cs="HelveticaNeue-Light"/>
          <w:sz w:val="24"/>
          <w:szCs w:val="24"/>
        </w:rPr>
        <w:t>servatif est le seul moyen contraceptif</w:t>
      </w:r>
      <w:r w:rsidR="001E06E6">
        <w:rPr>
          <w:rFonts w:eastAsia="HelveticaNeue-Light" w:cs="HelveticaNeue-Light"/>
          <w:sz w:val="24"/>
          <w:szCs w:val="24"/>
        </w:rPr>
        <w:t xml:space="preserve"> </w:t>
      </w:r>
      <w:r w:rsidR="003A259C">
        <w:rPr>
          <w:rFonts w:eastAsia="HelveticaNeue-Light" w:cs="HelveticaNeue-Light"/>
          <w:sz w:val="24"/>
          <w:szCs w:val="24"/>
        </w:rPr>
        <w:t>capable de proté</w:t>
      </w:r>
      <w:r w:rsidR="003A259C" w:rsidRPr="003A259C">
        <w:rPr>
          <w:rFonts w:eastAsia="HelveticaNeue-Light" w:cs="HelveticaNeue-Light"/>
          <w:sz w:val="24"/>
          <w:szCs w:val="24"/>
        </w:rPr>
        <w:t>ger des infections sexuellement transmissibles,</w:t>
      </w:r>
      <w:r w:rsidR="003A259C">
        <w:rPr>
          <w:rFonts w:eastAsia="HelveticaNeue-Light" w:cs="HelveticaNeue-Light"/>
          <w:sz w:val="24"/>
          <w:szCs w:val="24"/>
        </w:rPr>
        <w:t xml:space="preserve"> à l'</w:t>
      </w:r>
      <w:r w:rsidR="003A259C" w:rsidRPr="003A259C">
        <w:rPr>
          <w:rFonts w:eastAsia="HelveticaNeue-Light" w:cs="HelveticaNeue-Light"/>
          <w:sz w:val="24"/>
          <w:szCs w:val="24"/>
        </w:rPr>
        <w:t>exception du papillomavirus (HPV) et de l</w:t>
      </w:r>
      <w:r w:rsidR="003A259C">
        <w:rPr>
          <w:rFonts w:eastAsia="HelveticaNeue-Light" w:cs="HelveticaNeue-Light"/>
          <w:sz w:val="24"/>
          <w:szCs w:val="24"/>
        </w:rPr>
        <w:t>'</w:t>
      </w:r>
      <w:r w:rsidR="003A259C" w:rsidRPr="003A259C">
        <w:rPr>
          <w:rFonts w:eastAsia="HelveticaNeue-Light" w:cs="HelveticaNeue-Light"/>
          <w:sz w:val="24"/>
          <w:szCs w:val="24"/>
        </w:rPr>
        <w:t>herpes</w:t>
      </w:r>
      <w:r w:rsidR="003A259C">
        <w:rPr>
          <w:rFonts w:eastAsia="HelveticaNeue-Light" w:cs="HelveticaNeue-Light"/>
          <w:sz w:val="24"/>
          <w:szCs w:val="24"/>
        </w:rPr>
        <w:t xml:space="preserve"> </w:t>
      </w:r>
      <w:r w:rsidR="003A259C" w:rsidRPr="003A259C">
        <w:rPr>
          <w:rFonts w:eastAsia="HelveticaNeue-Light" w:cs="HelveticaNeue-Light"/>
          <w:sz w:val="24"/>
          <w:szCs w:val="24"/>
        </w:rPr>
        <w:t>simplex virus (HSV).</w:t>
      </w:r>
    </w:p>
    <w:p w:rsidR="00FC551D" w:rsidRPr="001E06E6" w:rsidRDefault="00FC551D" w:rsidP="00F2372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HelveticaNeue-Medium"/>
          <w:b/>
          <w:bCs/>
          <w:color w:val="00A1E4"/>
          <w:sz w:val="24"/>
          <w:szCs w:val="24"/>
        </w:rPr>
      </w:pPr>
      <w:r w:rsidRPr="001E06E6">
        <w:rPr>
          <w:rFonts w:cs="HelveticaNeue-Medium"/>
          <w:b/>
          <w:bCs/>
          <w:color w:val="00A1E4"/>
          <w:sz w:val="24"/>
          <w:szCs w:val="24"/>
        </w:rPr>
        <w:t>Préservatifs féminins et diaphragme</w:t>
      </w:r>
    </w:p>
    <w:p w:rsidR="00FC551D" w:rsidRDefault="004F0B9E" w:rsidP="004F0B9E">
      <w:pPr>
        <w:autoSpaceDE w:val="0"/>
        <w:autoSpaceDN w:val="0"/>
        <w:adjustRightInd w:val="0"/>
        <w:jc w:val="both"/>
        <w:rPr>
          <w:rFonts w:eastAsia="HelveticaNeue-Light" w:cs="HelveticaNeue-Light"/>
          <w:sz w:val="24"/>
          <w:szCs w:val="24"/>
        </w:rPr>
      </w:pPr>
      <w:r>
        <w:rPr>
          <w:rFonts w:eastAsia="HelveticaNeue-Light" w:cs="HelveticaNeue-Light"/>
          <w:sz w:val="24"/>
          <w:szCs w:val="24"/>
        </w:rPr>
        <w:t>Ils sont peu utilisé</w:t>
      </w:r>
      <w:r w:rsidRPr="001E06E6">
        <w:rPr>
          <w:rFonts w:eastAsia="HelveticaNeue-Light" w:cs="HelveticaNeue-Light"/>
          <w:sz w:val="24"/>
          <w:szCs w:val="24"/>
        </w:rPr>
        <w:t>s car d’</w:t>
      </w:r>
      <w:r>
        <w:rPr>
          <w:rFonts w:eastAsia="HelveticaNeue-Light" w:cs="HelveticaNeue-Light"/>
          <w:sz w:val="24"/>
          <w:szCs w:val="24"/>
        </w:rPr>
        <w:t xml:space="preserve">utilisation délicate, </w:t>
      </w:r>
      <w:r w:rsidR="001E06E6" w:rsidRPr="001E06E6">
        <w:rPr>
          <w:rFonts w:eastAsia="HelveticaNeue-Light" w:cs="HelveticaNeue-Light"/>
          <w:sz w:val="24"/>
          <w:szCs w:val="24"/>
        </w:rPr>
        <w:t>malgré</w:t>
      </w:r>
      <w:r w:rsidR="00FC551D" w:rsidRPr="001E06E6">
        <w:rPr>
          <w:rFonts w:eastAsia="HelveticaNeue-Light" w:cs="HelveticaNeue-Light"/>
          <w:sz w:val="24"/>
          <w:szCs w:val="24"/>
        </w:rPr>
        <w:t xml:space="preserve"> leur </w:t>
      </w:r>
      <w:r w:rsidR="001E06E6" w:rsidRPr="001E06E6">
        <w:rPr>
          <w:rFonts w:eastAsia="HelveticaNeue-Light" w:cs="HelveticaNeue-Light"/>
          <w:sz w:val="24"/>
          <w:szCs w:val="24"/>
        </w:rPr>
        <w:t>rôle</w:t>
      </w:r>
      <w:r w:rsidR="00FC551D" w:rsidRPr="001E06E6">
        <w:rPr>
          <w:rFonts w:eastAsia="HelveticaNeue-Light" w:cs="HelveticaNeue-Light"/>
          <w:sz w:val="24"/>
          <w:szCs w:val="24"/>
        </w:rPr>
        <w:t xml:space="preserve"> protecteur contre les infections</w:t>
      </w:r>
      <w:r w:rsidR="001E06E6">
        <w:rPr>
          <w:rFonts w:eastAsia="HelveticaNeue-Light" w:cs="HelveticaNeue-Light"/>
          <w:sz w:val="24"/>
          <w:szCs w:val="24"/>
        </w:rPr>
        <w:t xml:space="preserve"> </w:t>
      </w:r>
      <w:r w:rsidR="00FC551D" w:rsidRPr="001E06E6">
        <w:rPr>
          <w:rFonts w:eastAsia="HelveticaNeue-Light" w:cs="HelveticaNeue-Light"/>
          <w:sz w:val="24"/>
          <w:szCs w:val="24"/>
        </w:rPr>
        <w:t>sexuelle</w:t>
      </w:r>
      <w:r>
        <w:rPr>
          <w:rFonts w:eastAsia="HelveticaNeue-Light" w:cs="HelveticaNeue-Light"/>
          <w:sz w:val="24"/>
          <w:szCs w:val="24"/>
        </w:rPr>
        <w:t>ment transmissibles.</w:t>
      </w:r>
    </w:p>
    <w:p w:rsidR="004E7CC6" w:rsidRPr="004E7CC6" w:rsidRDefault="004E7CC6" w:rsidP="00F2372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="HelveticaNeue-Medium"/>
          <w:b/>
          <w:bCs/>
          <w:color w:val="00A1E4"/>
          <w:sz w:val="24"/>
          <w:szCs w:val="24"/>
        </w:rPr>
      </w:pPr>
      <w:r w:rsidRPr="004E7CC6">
        <w:rPr>
          <w:rFonts w:cs="HelveticaNeue-Medium"/>
          <w:b/>
          <w:bCs/>
          <w:color w:val="00A1E4"/>
          <w:sz w:val="24"/>
          <w:szCs w:val="24"/>
        </w:rPr>
        <w:t>Gels et éponges spermicides</w:t>
      </w:r>
    </w:p>
    <w:p w:rsidR="004E7CC6" w:rsidRPr="004E7CC6" w:rsidRDefault="004F0B9E" w:rsidP="004F0B9E">
      <w:pPr>
        <w:autoSpaceDE w:val="0"/>
        <w:autoSpaceDN w:val="0"/>
        <w:adjustRightInd w:val="0"/>
        <w:jc w:val="both"/>
        <w:rPr>
          <w:rFonts w:eastAsia="HelveticaNeue-Light" w:cs="HelveticaNeue-Light"/>
          <w:color w:val="000000"/>
          <w:sz w:val="24"/>
          <w:szCs w:val="24"/>
        </w:rPr>
      </w:pPr>
      <w:r>
        <w:rPr>
          <w:rFonts w:eastAsia="HelveticaNeue-Light" w:cs="HelveticaNeue-Light"/>
          <w:color w:val="000000"/>
          <w:sz w:val="24"/>
          <w:szCs w:val="24"/>
        </w:rPr>
        <w:t>D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t>isponible</w:t>
      </w:r>
      <w:r>
        <w:rPr>
          <w:rFonts w:eastAsia="HelveticaNeue-Light" w:cs="HelveticaNeue-Light"/>
          <w:color w:val="000000"/>
          <w:sz w:val="24"/>
          <w:szCs w:val="24"/>
        </w:rPr>
        <w:t>s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t xml:space="preserve"> sous forme d’ovules, de capsul</w:t>
      </w:r>
      <w:r>
        <w:rPr>
          <w:rFonts w:eastAsia="HelveticaNeue-Light" w:cs="HelveticaNeue-Light"/>
          <w:color w:val="000000"/>
          <w:sz w:val="24"/>
          <w:szCs w:val="24"/>
        </w:rPr>
        <w:t xml:space="preserve">es vaginales molles, d’éponges et 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t>de crème</w:t>
      </w:r>
      <w:r>
        <w:rPr>
          <w:rFonts w:eastAsia="HelveticaNeue-Light" w:cs="HelveticaNeue-Light"/>
          <w:color w:val="000000"/>
          <w:sz w:val="24"/>
          <w:szCs w:val="24"/>
        </w:rPr>
        <w:t>, ils sont souvent utilisés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t xml:space="preserve"> en com</w:t>
      </w:r>
      <w:r>
        <w:rPr>
          <w:rFonts w:eastAsia="HelveticaNeue-Light" w:cs="HelveticaNeue-Light"/>
          <w:color w:val="000000"/>
          <w:sz w:val="24"/>
          <w:szCs w:val="24"/>
        </w:rPr>
        <w:t>plément des méthodes naturelles ou</w:t>
      </w:r>
      <w:r w:rsidR="004E7CC6">
        <w:rPr>
          <w:rFonts w:eastAsia="HelveticaNeue-Light" w:cs="HelveticaNeue-Light"/>
          <w:color w:val="000000"/>
          <w:sz w:val="24"/>
          <w:szCs w:val="24"/>
        </w:rPr>
        <w:t xml:space="preserve"> 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t xml:space="preserve">en association avec </w:t>
      </w:r>
      <w:r w:rsidR="004E7CC6" w:rsidRPr="004E7CC6">
        <w:rPr>
          <w:rFonts w:eastAsia="HelveticaNeue-Light" w:cs="HelveticaNeue-Light"/>
          <w:color w:val="000000"/>
          <w:sz w:val="24"/>
          <w:szCs w:val="24"/>
        </w:rPr>
        <w:lastRenderedPageBreak/>
        <w:t>d’autres contraceptifs locaux (diaphragmes, capes cervicales, préservatifs) ou en contraceptif occasionnel.</w:t>
      </w:r>
    </w:p>
    <w:p w:rsidR="00FC551D" w:rsidRPr="00A97923" w:rsidRDefault="002836CE" w:rsidP="00F2372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A97923">
        <w:rPr>
          <w:rFonts w:cs="HelveticaNeue-Medium"/>
          <w:b/>
          <w:bCs/>
          <w:color w:val="00A1E4"/>
          <w:sz w:val="24"/>
          <w:szCs w:val="24"/>
        </w:rPr>
        <w:t>Méthodes dites naturelles</w:t>
      </w:r>
    </w:p>
    <w:p w:rsidR="002836CE" w:rsidRPr="00A97923" w:rsidRDefault="002836CE" w:rsidP="00F2372E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A97923">
        <w:rPr>
          <w:rFonts w:eastAsia="HelveticaNeue-Light" w:cs="HelveticaNeue-Light"/>
          <w:sz w:val="24"/>
          <w:szCs w:val="24"/>
        </w:rPr>
        <w:t>Ce sont essentiellement les méthodes de retrait, d’aménorrhée lactationnelle, d’abstinence</w:t>
      </w:r>
    </w:p>
    <w:p w:rsidR="002836CE" w:rsidRDefault="00A97923" w:rsidP="00F2372E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A97923">
        <w:rPr>
          <w:rFonts w:eastAsia="HelveticaNeue-Light" w:cs="HelveticaNeue-Light"/>
          <w:sz w:val="24"/>
          <w:szCs w:val="24"/>
        </w:rPr>
        <w:t>périodique</w:t>
      </w:r>
      <w:r w:rsidR="002836CE" w:rsidRPr="00A97923">
        <w:rPr>
          <w:rFonts w:eastAsia="HelveticaNeue-Light" w:cs="HelveticaNeue-Light"/>
          <w:sz w:val="24"/>
          <w:szCs w:val="24"/>
        </w:rPr>
        <w:t xml:space="preserve"> et d’auto-observation (surveillance</w:t>
      </w:r>
      <w:r w:rsidRPr="00A97923">
        <w:rPr>
          <w:rFonts w:eastAsia="HelveticaNeue-Light" w:cs="HelveticaNeue-Light"/>
          <w:sz w:val="24"/>
          <w:szCs w:val="24"/>
        </w:rPr>
        <w:t xml:space="preserve"> quotidienne de la température</w:t>
      </w:r>
      <w:r w:rsidR="002836CE" w:rsidRPr="00A97923">
        <w:rPr>
          <w:rFonts w:eastAsia="HelveticaNeue-Light" w:cs="HelveticaNeue-Light"/>
          <w:sz w:val="24"/>
          <w:szCs w:val="24"/>
        </w:rPr>
        <w:t>).</w:t>
      </w:r>
    </w:p>
    <w:p w:rsidR="00027D2E" w:rsidRPr="00027D2E" w:rsidRDefault="00027D2E" w:rsidP="00F2372E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0"/>
          <w:szCs w:val="20"/>
        </w:rPr>
      </w:pPr>
    </w:p>
    <w:p w:rsidR="00040156" w:rsidRPr="00027D2E" w:rsidRDefault="00040156" w:rsidP="00027D2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HelveticaNeue-BoldCond"/>
          <w:b/>
          <w:bCs/>
          <w:sz w:val="24"/>
          <w:szCs w:val="24"/>
        </w:rPr>
      </w:pPr>
      <w:r w:rsidRPr="00027D2E">
        <w:rPr>
          <w:rFonts w:cs="HelveticaNeue-BoldCond"/>
          <w:b/>
          <w:bCs/>
          <w:sz w:val="24"/>
          <w:szCs w:val="24"/>
        </w:rPr>
        <w:t>Contraception d’urgence</w:t>
      </w:r>
    </w:p>
    <w:p w:rsidR="00040156" w:rsidRPr="00000288" w:rsidRDefault="00040156" w:rsidP="00000288">
      <w:pPr>
        <w:autoSpaceDE w:val="0"/>
        <w:autoSpaceDN w:val="0"/>
        <w:adjustRightInd w:val="0"/>
        <w:spacing w:after="0"/>
        <w:jc w:val="both"/>
        <w:rPr>
          <w:rFonts w:cs="HelveticaNeue-Medium"/>
          <w:b/>
          <w:bCs/>
          <w:color w:val="00A1E4"/>
          <w:sz w:val="24"/>
          <w:szCs w:val="24"/>
        </w:rPr>
      </w:pPr>
      <w:r w:rsidRPr="00000288">
        <w:rPr>
          <w:rFonts w:cs="HelveticaNeue-Medium"/>
          <w:b/>
          <w:bCs/>
          <w:color w:val="00A1E4"/>
          <w:sz w:val="24"/>
          <w:szCs w:val="24"/>
        </w:rPr>
        <w:t xml:space="preserve">- Hormonale: </w:t>
      </w:r>
      <w:r w:rsidRPr="00000288">
        <w:rPr>
          <w:rFonts w:eastAsia="HelveticaNeue-Light" w:cs="HelveticaNeue-Light"/>
          <w:sz w:val="24"/>
          <w:szCs w:val="24"/>
        </w:rPr>
        <w:t>il s'agit de l'administration de progestatifs</w:t>
      </w:r>
      <w:r w:rsidR="00000288" w:rsidRPr="00000288">
        <w:rPr>
          <w:rFonts w:eastAsia="HelveticaNeue-Light" w:cs="HelveticaNeue-Light"/>
          <w:sz w:val="24"/>
          <w:szCs w:val="24"/>
        </w:rPr>
        <w:t xml:space="preserve"> le plutôt possible maximum 3 à 5 jours suivant le rapport sexuel à risque.</w:t>
      </w:r>
    </w:p>
    <w:p w:rsidR="00040156" w:rsidRDefault="00040156" w:rsidP="00000288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  <w:r w:rsidRPr="00000288">
        <w:rPr>
          <w:rFonts w:cs="HelveticaNeue-Medium"/>
          <w:b/>
          <w:bCs/>
          <w:color w:val="00A1E4"/>
          <w:sz w:val="24"/>
          <w:szCs w:val="24"/>
        </w:rPr>
        <w:t xml:space="preserve">- Non hormonale: </w:t>
      </w:r>
      <w:r w:rsidRPr="00000288">
        <w:rPr>
          <w:rFonts w:eastAsia="HelveticaNeue-Light" w:cs="HelveticaNeue-Light"/>
          <w:sz w:val="24"/>
          <w:szCs w:val="24"/>
        </w:rPr>
        <w:t>il s'agit de la pose d'un dispositif intra-utérin au cuivre dans les 5 jours suivant le rapport sexuel à risque.</w:t>
      </w:r>
    </w:p>
    <w:p w:rsidR="00027D2E" w:rsidRPr="00000288" w:rsidRDefault="00027D2E" w:rsidP="00000288">
      <w:pPr>
        <w:autoSpaceDE w:val="0"/>
        <w:autoSpaceDN w:val="0"/>
        <w:adjustRightInd w:val="0"/>
        <w:spacing w:after="0"/>
        <w:jc w:val="both"/>
        <w:rPr>
          <w:rFonts w:eastAsia="HelveticaNeue-Light" w:cs="HelveticaNeue-Light"/>
          <w:sz w:val="24"/>
          <w:szCs w:val="24"/>
        </w:rPr>
      </w:pPr>
    </w:p>
    <w:sectPr w:rsidR="00027D2E" w:rsidRPr="00000288" w:rsidSect="0009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B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A13"/>
    <w:multiLevelType w:val="hybridMultilevel"/>
    <w:tmpl w:val="6C264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5CBE"/>
    <w:multiLevelType w:val="multilevel"/>
    <w:tmpl w:val="40A8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36E2D"/>
    <w:multiLevelType w:val="hybridMultilevel"/>
    <w:tmpl w:val="95EAD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554F"/>
    <w:multiLevelType w:val="hybridMultilevel"/>
    <w:tmpl w:val="193C6308"/>
    <w:lvl w:ilvl="0" w:tplc="A012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0DCD"/>
    <w:multiLevelType w:val="hybridMultilevel"/>
    <w:tmpl w:val="433A89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5599"/>
    <w:multiLevelType w:val="hybridMultilevel"/>
    <w:tmpl w:val="3F06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31B95"/>
    <w:multiLevelType w:val="hybridMultilevel"/>
    <w:tmpl w:val="8D4E79FC"/>
    <w:lvl w:ilvl="0" w:tplc="F49E00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41D87"/>
    <w:multiLevelType w:val="hybridMultilevel"/>
    <w:tmpl w:val="F01C2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B333F"/>
    <w:multiLevelType w:val="hybridMultilevel"/>
    <w:tmpl w:val="F7EEE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4DE"/>
    <w:multiLevelType w:val="hybridMultilevel"/>
    <w:tmpl w:val="EC8AF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67BC"/>
    <w:multiLevelType w:val="hybridMultilevel"/>
    <w:tmpl w:val="9B64DFA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146ECAE">
      <w:numFmt w:val="bullet"/>
      <w:lvlText w:val="•"/>
      <w:lvlJc w:val="left"/>
      <w:pPr>
        <w:ind w:left="2148" w:hanging="360"/>
      </w:pPr>
      <w:rPr>
        <w:rFonts w:ascii="Calibri" w:eastAsiaTheme="minorHAnsi" w:hAnsi="Calibri" w:cs="BaskervilleBE-Regular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7A3E4A"/>
    <w:multiLevelType w:val="hybridMultilevel"/>
    <w:tmpl w:val="9DA0AA2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47BF4"/>
    <w:multiLevelType w:val="hybridMultilevel"/>
    <w:tmpl w:val="137CF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47C9"/>
    <w:multiLevelType w:val="hybridMultilevel"/>
    <w:tmpl w:val="6C6E3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76139"/>
    <w:multiLevelType w:val="hybridMultilevel"/>
    <w:tmpl w:val="32125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C16E8"/>
    <w:multiLevelType w:val="hybridMultilevel"/>
    <w:tmpl w:val="01BE39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74130"/>
    <w:multiLevelType w:val="hybridMultilevel"/>
    <w:tmpl w:val="F0AA5E8C"/>
    <w:lvl w:ilvl="0" w:tplc="40403D1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42011"/>
    <w:multiLevelType w:val="hybridMultilevel"/>
    <w:tmpl w:val="C0FC05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4"/>
        <w:szCs w:val="25"/>
      </w:rPr>
    </w:lvl>
    <w:lvl w:ilvl="1" w:tplc="040C0019" w:tentative="1">
      <w:start w:val="1"/>
      <w:numFmt w:val="lowerLetter"/>
      <w:lvlText w:val="%2."/>
      <w:lvlJc w:val="left"/>
      <w:pPr>
        <w:ind w:left="-3522" w:hanging="360"/>
      </w:pPr>
    </w:lvl>
    <w:lvl w:ilvl="2" w:tplc="040C001B" w:tentative="1">
      <w:start w:val="1"/>
      <w:numFmt w:val="lowerRoman"/>
      <w:lvlText w:val="%3."/>
      <w:lvlJc w:val="right"/>
      <w:pPr>
        <w:ind w:left="-2802" w:hanging="180"/>
      </w:pPr>
    </w:lvl>
    <w:lvl w:ilvl="3" w:tplc="040C000F" w:tentative="1">
      <w:start w:val="1"/>
      <w:numFmt w:val="decimal"/>
      <w:lvlText w:val="%4."/>
      <w:lvlJc w:val="left"/>
      <w:pPr>
        <w:ind w:left="-2082" w:hanging="360"/>
      </w:pPr>
    </w:lvl>
    <w:lvl w:ilvl="4" w:tplc="040C0019" w:tentative="1">
      <w:start w:val="1"/>
      <w:numFmt w:val="lowerLetter"/>
      <w:lvlText w:val="%5."/>
      <w:lvlJc w:val="left"/>
      <w:pPr>
        <w:ind w:left="-1362" w:hanging="360"/>
      </w:pPr>
    </w:lvl>
    <w:lvl w:ilvl="5" w:tplc="040C001B" w:tentative="1">
      <w:start w:val="1"/>
      <w:numFmt w:val="lowerRoman"/>
      <w:lvlText w:val="%6."/>
      <w:lvlJc w:val="right"/>
      <w:pPr>
        <w:ind w:left="-642" w:hanging="180"/>
      </w:pPr>
    </w:lvl>
    <w:lvl w:ilvl="6" w:tplc="040C000F" w:tentative="1">
      <w:start w:val="1"/>
      <w:numFmt w:val="decimal"/>
      <w:lvlText w:val="%7."/>
      <w:lvlJc w:val="left"/>
      <w:pPr>
        <w:ind w:left="78" w:hanging="360"/>
      </w:pPr>
    </w:lvl>
    <w:lvl w:ilvl="7" w:tplc="040C0019" w:tentative="1">
      <w:start w:val="1"/>
      <w:numFmt w:val="lowerLetter"/>
      <w:lvlText w:val="%8."/>
      <w:lvlJc w:val="left"/>
      <w:pPr>
        <w:ind w:left="798" w:hanging="360"/>
      </w:pPr>
    </w:lvl>
    <w:lvl w:ilvl="8" w:tplc="040C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18">
    <w:nsid w:val="49923609"/>
    <w:multiLevelType w:val="hybridMultilevel"/>
    <w:tmpl w:val="6804EA88"/>
    <w:lvl w:ilvl="0" w:tplc="EA323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27769"/>
    <w:multiLevelType w:val="hybridMultilevel"/>
    <w:tmpl w:val="2A7AF1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5E0"/>
    <w:multiLevelType w:val="hybridMultilevel"/>
    <w:tmpl w:val="D7649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13DC2"/>
    <w:multiLevelType w:val="hybridMultilevel"/>
    <w:tmpl w:val="489E5636"/>
    <w:lvl w:ilvl="0" w:tplc="EE3CF8F4">
      <w:numFmt w:val="bullet"/>
      <w:lvlText w:val="•"/>
      <w:lvlJc w:val="left"/>
      <w:pPr>
        <w:ind w:left="720" w:hanging="360"/>
      </w:pPr>
      <w:rPr>
        <w:rFonts w:ascii="Calibri" w:eastAsiaTheme="minorHAnsi" w:hAnsi="Calibri" w:cs="BaskervilleBE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431D8"/>
    <w:multiLevelType w:val="hybridMultilevel"/>
    <w:tmpl w:val="CBCA9462"/>
    <w:lvl w:ilvl="0" w:tplc="F49E002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b/>
        <w:bCs/>
        <w:sz w:val="24"/>
        <w:szCs w:val="25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8530E9"/>
    <w:multiLevelType w:val="hybridMultilevel"/>
    <w:tmpl w:val="113A51F2"/>
    <w:lvl w:ilvl="0" w:tplc="1C22A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54DF2"/>
    <w:multiLevelType w:val="hybridMultilevel"/>
    <w:tmpl w:val="EFBEE1C2"/>
    <w:lvl w:ilvl="0" w:tplc="81B68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D6160"/>
    <w:multiLevelType w:val="hybridMultilevel"/>
    <w:tmpl w:val="EE6E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9009F"/>
    <w:multiLevelType w:val="hybridMultilevel"/>
    <w:tmpl w:val="C9F2D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1E0F"/>
    <w:multiLevelType w:val="hybridMultilevel"/>
    <w:tmpl w:val="FF3EA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CF8F4">
      <w:numFmt w:val="bullet"/>
      <w:lvlText w:val="•"/>
      <w:lvlJc w:val="left"/>
      <w:pPr>
        <w:ind w:left="2160" w:hanging="360"/>
      </w:pPr>
      <w:rPr>
        <w:rFonts w:ascii="Calibri" w:eastAsiaTheme="minorHAnsi" w:hAnsi="Calibri" w:cs="BaskervilleBE-Regular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270CB"/>
    <w:multiLevelType w:val="hybridMultilevel"/>
    <w:tmpl w:val="F3580374"/>
    <w:lvl w:ilvl="0" w:tplc="E0E09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F30B4"/>
    <w:multiLevelType w:val="hybridMultilevel"/>
    <w:tmpl w:val="3DCC1034"/>
    <w:lvl w:ilvl="0" w:tplc="5630FEF2">
      <w:start w:val="1"/>
      <w:numFmt w:val="lowerLetter"/>
      <w:lvlText w:val="%1."/>
      <w:lvlJc w:val="left"/>
      <w:pPr>
        <w:ind w:left="5322" w:hanging="360"/>
      </w:pPr>
      <w:rPr>
        <w:rFonts w:asciiTheme="minorHAnsi" w:hAnsiTheme="minorHAnsi" w:hint="default"/>
        <w:b/>
        <w:bCs/>
        <w:sz w:val="24"/>
        <w:szCs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115F9"/>
    <w:multiLevelType w:val="hybridMultilevel"/>
    <w:tmpl w:val="297CCC02"/>
    <w:lvl w:ilvl="0" w:tplc="06D8CC0E">
      <w:start w:val="1"/>
      <w:numFmt w:val="lowerLetter"/>
      <w:lvlText w:val="%1."/>
      <w:lvlJc w:val="left"/>
      <w:pPr>
        <w:ind w:left="5322" w:hanging="360"/>
      </w:pPr>
      <w:rPr>
        <w:rFonts w:asciiTheme="minorHAnsi" w:hAnsiTheme="minorHAnsi" w:hint="default"/>
        <w:b/>
        <w:bCs/>
        <w:sz w:val="24"/>
        <w:szCs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491B"/>
    <w:multiLevelType w:val="hybridMultilevel"/>
    <w:tmpl w:val="881C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B610A"/>
    <w:multiLevelType w:val="multilevel"/>
    <w:tmpl w:val="0D4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0"/>
  </w:num>
  <w:num w:numId="4">
    <w:abstractNumId w:val="0"/>
  </w:num>
  <w:num w:numId="5">
    <w:abstractNumId w:val="25"/>
  </w:num>
  <w:num w:numId="6">
    <w:abstractNumId w:val="27"/>
  </w:num>
  <w:num w:numId="7">
    <w:abstractNumId w:val="10"/>
  </w:num>
  <w:num w:numId="8">
    <w:abstractNumId w:val="1"/>
  </w:num>
  <w:num w:numId="9">
    <w:abstractNumId w:val="2"/>
  </w:num>
  <w:num w:numId="10">
    <w:abstractNumId w:val="32"/>
  </w:num>
  <w:num w:numId="11">
    <w:abstractNumId w:val="19"/>
  </w:num>
  <w:num w:numId="12">
    <w:abstractNumId w:val="28"/>
  </w:num>
  <w:num w:numId="13">
    <w:abstractNumId w:val="30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5"/>
  </w:num>
  <w:num w:numId="20">
    <w:abstractNumId w:val="21"/>
  </w:num>
  <w:num w:numId="21">
    <w:abstractNumId w:val="17"/>
  </w:num>
  <w:num w:numId="22">
    <w:abstractNumId w:val="15"/>
  </w:num>
  <w:num w:numId="23">
    <w:abstractNumId w:val="13"/>
  </w:num>
  <w:num w:numId="24">
    <w:abstractNumId w:val="18"/>
  </w:num>
  <w:num w:numId="25">
    <w:abstractNumId w:val="29"/>
  </w:num>
  <w:num w:numId="26">
    <w:abstractNumId w:val="6"/>
  </w:num>
  <w:num w:numId="27">
    <w:abstractNumId w:val="22"/>
  </w:num>
  <w:num w:numId="28">
    <w:abstractNumId w:val="23"/>
  </w:num>
  <w:num w:numId="29">
    <w:abstractNumId w:val="16"/>
  </w:num>
  <w:num w:numId="30">
    <w:abstractNumId w:val="9"/>
  </w:num>
  <w:num w:numId="31">
    <w:abstractNumId w:val="26"/>
  </w:num>
  <w:num w:numId="32">
    <w:abstractNumId w:val="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4C7"/>
    <w:rsid w:val="00000288"/>
    <w:rsid w:val="00016394"/>
    <w:rsid w:val="00027D2E"/>
    <w:rsid w:val="00040156"/>
    <w:rsid w:val="00090BDF"/>
    <w:rsid w:val="000A10A9"/>
    <w:rsid w:val="000B25B0"/>
    <w:rsid w:val="000C3C93"/>
    <w:rsid w:val="000E6D94"/>
    <w:rsid w:val="00100703"/>
    <w:rsid w:val="00177E58"/>
    <w:rsid w:val="00183522"/>
    <w:rsid w:val="001E06E6"/>
    <w:rsid w:val="00206752"/>
    <w:rsid w:val="0024153A"/>
    <w:rsid w:val="002836CE"/>
    <w:rsid w:val="002A323B"/>
    <w:rsid w:val="00305BB7"/>
    <w:rsid w:val="00314227"/>
    <w:rsid w:val="00315723"/>
    <w:rsid w:val="00316D2B"/>
    <w:rsid w:val="00387AAD"/>
    <w:rsid w:val="00392416"/>
    <w:rsid w:val="003A259C"/>
    <w:rsid w:val="00424D86"/>
    <w:rsid w:val="00454764"/>
    <w:rsid w:val="004837B0"/>
    <w:rsid w:val="004A45C3"/>
    <w:rsid w:val="004D1863"/>
    <w:rsid w:val="004E0CC0"/>
    <w:rsid w:val="004E7CC6"/>
    <w:rsid w:val="004F0B9E"/>
    <w:rsid w:val="004F5D1B"/>
    <w:rsid w:val="00534912"/>
    <w:rsid w:val="00575F40"/>
    <w:rsid w:val="005E03F4"/>
    <w:rsid w:val="005F5D1A"/>
    <w:rsid w:val="00601D85"/>
    <w:rsid w:val="00610AD6"/>
    <w:rsid w:val="00632F0C"/>
    <w:rsid w:val="006A0388"/>
    <w:rsid w:val="006B7678"/>
    <w:rsid w:val="006C73D5"/>
    <w:rsid w:val="007C2FC6"/>
    <w:rsid w:val="008063B8"/>
    <w:rsid w:val="008267C3"/>
    <w:rsid w:val="0086283F"/>
    <w:rsid w:val="008853B1"/>
    <w:rsid w:val="008D545C"/>
    <w:rsid w:val="00924594"/>
    <w:rsid w:val="009B4F40"/>
    <w:rsid w:val="009C4A0B"/>
    <w:rsid w:val="009D3736"/>
    <w:rsid w:val="009D5456"/>
    <w:rsid w:val="00A5410D"/>
    <w:rsid w:val="00A56B3A"/>
    <w:rsid w:val="00A856C4"/>
    <w:rsid w:val="00A924C7"/>
    <w:rsid w:val="00A97923"/>
    <w:rsid w:val="00AC23FC"/>
    <w:rsid w:val="00AC48A3"/>
    <w:rsid w:val="00AC4CF1"/>
    <w:rsid w:val="00BD453D"/>
    <w:rsid w:val="00C02B25"/>
    <w:rsid w:val="00CF6F88"/>
    <w:rsid w:val="00D04444"/>
    <w:rsid w:val="00D543AA"/>
    <w:rsid w:val="00D846C3"/>
    <w:rsid w:val="00DA366C"/>
    <w:rsid w:val="00DD5BEA"/>
    <w:rsid w:val="00DE25E9"/>
    <w:rsid w:val="00E1322E"/>
    <w:rsid w:val="00E34641"/>
    <w:rsid w:val="00E87856"/>
    <w:rsid w:val="00E939F4"/>
    <w:rsid w:val="00EF0F31"/>
    <w:rsid w:val="00EF3BC2"/>
    <w:rsid w:val="00EF5013"/>
    <w:rsid w:val="00F12206"/>
    <w:rsid w:val="00F16B16"/>
    <w:rsid w:val="00F2372E"/>
    <w:rsid w:val="00F54F26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DF"/>
  </w:style>
  <w:style w:type="paragraph" w:styleId="Titre2">
    <w:name w:val="heading 2"/>
    <w:basedOn w:val="Normal"/>
    <w:link w:val="Titre2Car"/>
    <w:uiPriority w:val="9"/>
    <w:qFormat/>
    <w:rsid w:val="006A0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F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C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543A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D543AA"/>
  </w:style>
  <w:style w:type="paragraph" w:customStyle="1" w:styleId="wysiwyg">
    <w:name w:val="wysiwyg"/>
    <w:basedOn w:val="Normal"/>
    <w:rsid w:val="00D5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543AA"/>
    <w:rPr>
      <w:b/>
      <w:bCs/>
    </w:rPr>
  </w:style>
  <w:style w:type="character" w:customStyle="1" w:styleId="grey">
    <w:name w:val="grey"/>
    <w:basedOn w:val="Policepardfaut"/>
    <w:rsid w:val="00D543AA"/>
  </w:style>
  <w:style w:type="character" w:customStyle="1" w:styleId="Titre2Car">
    <w:name w:val="Titre 2 Car"/>
    <w:basedOn w:val="Policepardfaut"/>
    <w:link w:val="Titre2"/>
    <w:uiPriority w:val="9"/>
    <w:rsid w:val="006A03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A0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iengiphar.com/node/3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rmaciengiphar.com/node/30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armaciengiphar.com/lexique-medical-vidal/p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armaciengiphar.com/maman/sante-au-quotidien/suivi-gynecologique/hygiene-intime-conseils" TargetMode="External"/><Relationship Id="rId10" Type="http://schemas.openxmlformats.org/officeDocument/2006/relationships/hyperlink" Target="http://www.pharmaciengiphar.com/medecines-naturelles/fiche-pratique-aromatherapie/basi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rmaciengiphar.com/bien-etre/activite-physique/10-bonnes-raisons-faire-spo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mekideche</dc:creator>
  <cp:lastModifiedBy>mekideche</cp:lastModifiedBy>
  <cp:revision>2</cp:revision>
  <dcterms:created xsi:type="dcterms:W3CDTF">2015-01-20T19:43:00Z</dcterms:created>
  <dcterms:modified xsi:type="dcterms:W3CDTF">2015-01-20T19:43:00Z</dcterms:modified>
</cp:coreProperties>
</file>