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52C" w:rsidRPr="000701E9" w:rsidRDefault="00D1052C" w:rsidP="000701E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highlight w:val="yellow"/>
        </w:rPr>
        <w:t>LES</w:t>
      </w:r>
      <w:r w:rsidRPr="00D1052C">
        <w:rPr>
          <w:b/>
          <w:bCs/>
          <w:sz w:val="28"/>
          <w:szCs w:val="28"/>
          <w:highlight w:val="yellow"/>
        </w:rPr>
        <w:t xml:space="preserve"> LIGNANES</w:t>
      </w:r>
    </w:p>
    <w:p w:rsidR="00513F88" w:rsidRDefault="00513F88" w:rsidP="00F25D55">
      <w:pPr>
        <w:spacing w:after="0"/>
        <w:jc w:val="both"/>
        <w:rPr>
          <w:b/>
          <w:bCs/>
          <w:u w:val="single"/>
        </w:rPr>
      </w:pPr>
      <w:r w:rsidRPr="00513F88">
        <w:rPr>
          <w:b/>
          <w:bCs/>
          <w:u w:val="single"/>
        </w:rPr>
        <w:t>I. Définition</w:t>
      </w:r>
      <w:r>
        <w:rPr>
          <w:b/>
          <w:bCs/>
          <w:u w:val="single"/>
        </w:rPr>
        <w:t> :</w:t>
      </w:r>
    </w:p>
    <w:p w:rsidR="006D67CB" w:rsidRDefault="008130DB" w:rsidP="00F25D55">
      <w:pPr>
        <w:spacing w:after="0"/>
        <w:jc w:val="both"/>
      </w:pPr>
      <w:r>
        <w:t>L</w:t>
      </w:r>
      <w:r w:rsidR="00513F88">
        <w:t xml:space="preserve">e terme de lignane désigne habituellement des composés en </w:t>
      </w:r>
      <w:r w:rsidR="00513F88" w:rsidRPr="00AB20E8">
        <w:rPr>
          <w:b/>
          <w:bCs/>
        </w:rPr>
        <w:t>C18</w:t>
      </w:r>
      <w:r w:rsidR="00513F88">
        <w:t xml:space="preserve"> dont le squelette résulte de l’établissement d’une liaison entre les Carbones</w:t>
      </w:r>
      <w:r>
        <w:t xml:space="preserve"> </w:t>
      </w:r>
      <w:r>
        <w:rPr>
          <w:rFonts w:ascii="Times New Roman" w:hAnsi="Times New Roman" w:cs="Times New Roman"/>
        </w:rPr>
        <w:t>β</w:t>
      </w:r>
      <w:r>
        <w:t xml:space="preserve"> des chaines latérales de deux unités du 1-phénylpropane.</w:t>
      </w:r>
    </w:p>
    <w:p w:rsidR="00513F88" w:rsidRDefault="006D67CB" w:rsidP="00AB20E8">
      <w:pPr>
        <w:spacing w:after="0"/>
        <w:jc w:val="center"/>
      </w:pPr>
      <w:r>
        <w:object w:dxaOrig="5520" w:dyaOrig="2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9.95pt;height:92.4pt" o:ole="">
            <v:imagedata r:id="rId7" o:title=""/>
          </v:shape>
          <o:OLEObject Type="Embed" ProgID="ISISServer" ShapeID="_x0000_i1025" DrawAspect="Content" ObjectID="_1483946811" r:id="rId8"/>
        </w:object>
      </w:r>
    </w:p>
    <w:p w:rsidR="008130DB" w:rsidRDefault="00AB20E8" w:rsidP="00AB20E8">
      <w:pPr>
        <w:spacing w:after="0"/>
        <w:jc w:val="center"/>
      </w:pPr>
      <w:r>
        <w:t xml:space="preserve">        </w:t>
      </w:r>
      <w:r w:rsidR="008130DB">
        <w:t>1-phénylpropane</w:t>
      </w:r>
      <w:r w:rsidR="006D67CB">
        <w:t xml:space="preserve">       </w:t>
      </w:r>
      <w:r>
        <w:t xml:space="preserve">                           </w:t>
      </w:r>
      <w:r w:rsidR="006D67CB">
        <w:t>lignane vrais (ouvert)</w:t>
      </w:r>
    </w:p>
    <w:p w:rsidR="006D67CB" w:rsidRDefault="006D67CB" w:rsidP="00AB20E8">
      <w:pPr>
        <w:spacing w:after="0"/>
        <w:jc w:val="center"/>
      </w:pPr>
    </w:p>
    <w:p w:rsidR="008130DB" w:rsidRPr="006D67CB" w:rsidRDefault="006D67CB" w:rsidP="00F25D55">
      <w:pPr>
        <w:spacing w:after="0"/>
        <w:jc w:val="both"/>
        <w:rPr>
          <w:b/>
          <w:bCs/>
          <w:u w:val="single"/>
        </w:rPr>
      </w:pPr>
      <w:r w:rsidRPr="006D67CB">
        <w:rPr>
          <w:b/>
          <w:bCs/>
          <w:u w:val="single"/>
        </w:rPr>
        <w:t>II. Répartition botanique et localisation dans la plante :</w:t>
      </w:r>
    </w:p>
    <w:p w:rsidR="00513F88" w:rsidRDefault="006D67CB" w:rsidP="00F25D55">
      <w:pPr>
        <w:jc w:val="both"/>
      </w:pPr>
      <w:r>
        <w:t>La distribution des lignanes est assez large, on les retrouve dans soixante-dix familles.</w:t>
      </w:r>
    </w:p>
    <w:p w:rsidR="006D67CB" w:rsidRDefault="006D67CB" w:rsidP="00F25D55">
      <w:pPr>
        <w:pStyle w:val="Paragraphedeliste"/>
        <w:numPr>
          <w:ilvl w:val="0"/>
          <w:numId w:val="4"/>
        </w:numPr>
        <w:jc w:val="both"/>
      </w:pPr>
      <w:r>
        <w:t>Chez les Gymnospermes : ils sont localisés au niveau des bois.</w:t>
      </w:r>
    </w:p>
    <w:p w:rsidR="006D67CB" w:rsidRDefault="006D67CB" w:rsidP="00F25D55">
      <w:pPr>
        <w:pStyle w:val="Paragraphedeliste"/>
        <w:numPr>
          <w:ilvl w:val="0"/>
          <w:numId w:val="4"/>
        </w:numPr>
        <w:jc w:val="both"/>
      </w:pPr>
      <w:r>
        <w:t>Chez les Angiospermes :</w:t>
      </w:r>
      <w:r w:rsidR="00AB20E8">
        <w:t xml:space="preserve"> </w:t>
      </w:r>
      <w:r>
        <w:t>ils sont localisés dans les tissus.</w:t>
      </w:r>
    </w:p>
    <w:p w:rsidR="006D67CB" w:rsidRDefault="006D67CB" w:rsidP="000701E9">
      <w:pPr>
        <w:spacing w:after="0"/>
        <w:jc w:val="both"/>
        <w:rPr>
          <w:b/>
          <w:bCs/>
          <w:u w:val="single"/>
        </w:rPr>
      </w:pPr>
      <w:r w:rsidRPr="006D67CB">
        <w:rPr>
          <w:b/>
          <w:bCs/>
          <w:u w:val="single"/>
        </w:rPr>
        <w:t>III. Structure chimique et classification :</w:t>
      </w:r>
    </w:p>
    <w:p w:rsidR="0088416B" w:rsidRDefault="0042209A" w:rsidP="000701E9">
      <w:pPr>
        <w:spacing w:after="0"/>
        <w:jc w:val="both"/>
      </w:pPr>
      <w:r>
        <w:t>Chez les lignanes, on distingue six groupes structuraux fondamentaux</w:t>
      </w:r>
      <w:r w:rsidR="00756FFF">
        <w:t> :</w:t>
      </w:r>
    </w:p>
    <w:p w:rsidR="000701E9" w:rsidRDefault="00CD461B" w:rsidP="000701E9">
      <w:pPr>
        <w:spacing w:after="0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left:0;text-align:left;margin-left:0;margin-top:20.7pt;width:447.95pt;height:285pt;z-index:251660288;mso-wrap-style:none" stroked="f">
            <v:textbox style="mso-next-textbox:#_x0000_s1058">
              <w:txbxContent>
                <w:p w:rsidR="000701E9" w:rsidRPr="00F76678" w:rsidRDefault="00705DE1" w:rsidP="00F76678">
                  <w:pPr>
                    <w:spacing w:after="0"/>
                    <w:jc w:val="both"/>
                  </w:pPr>
                  <w:r w:rsidRPr="000701E9">
                    <w:object w:dxaOrig="7195" w:dyaOrig="5396">
                      <v:shape id="_x0000_i1027" type="#_x0000_t75" style="width:433.05pt;height:263.3pt" o:ole="">
                        <v:imagedata r:id="rId9" o:title=""/>
                      </v:shape>
                      <o:OLEObject Type="Embed" ProgID="PowerPoint.Slide.12" ShapeID="_x0000_i1027" DrawAspect="Content" ObjectID="_1483946813" r:id="rId10"/>
                    </w:object>
                  </w:r>
                </w:p>
              </w:txbxContent>
            </v:textbox>
            <w10:wrap type="square"/>
          </v:shape>
        </w:pict>
      </w:r>
    </w:p>
    <w:p w:rsidR="000701E9" w:rsidRPr="000701E9" w:rsidRDefault="008D6862" w:rsidP="000701E9">
      <w:pPr>
        <w:jc w:val="center"/>
      </w:pPr>
      <w:r w:rsidRPr="008D6862">
        <w:rPr>
          <w:noProof/>
          <w:lang w:eastAsia="fr-FR"/>
        </w:rPr>
        <w:lastRenderedPageBreak/>
        <w:drawing>
          <wp:inline distT="0" distB="0" distL="0" distR="0">
            <wp:extent cx="3829050" cy="3676650"/>
            <wp:effectExtent l="0" t="0" r="0" b="0"/>
            <wp:docPr id="4" name="Objet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286500" cy="6605611"/>
                      <a:chOff x="785813" y="71414"/>
                      <a:chExt cx="6286500" cy="6605611"/>
                    </a:xfrm>
                  </a:grpSpPr>
                  <a:sp>
                    <a:nvSpPr>
                      <a:cNvPr id="16386" name="Rectangle 2"/>
                      <a:cNvSpPr>
                        <a:spLocks noChangeArrowheads="1"/>
                      </a:cNvSpPr>
                    </a:nvSpPr>
                    <a:spPr bwMode="auto">
                      <a:xfrm>
                        <a:off x="0" y="0"/>
                        <a:ext cx="9144000" cy="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none" lIns="91440" tIns="45720" rIns="91440" bIns="45720" numCol="1" anchor="ctr" anchorCtr="0" compatLnSpc="1">
                          <a:prstTxWarp prst="textNoShape">
                            <a:avLst/>
                          </a:prstTxWarp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fr-FR"/>
                        </a:p>
                      </a:txBody>
                      <a:useSpRect/>
                    </a:txSp>
                  </a:sp>
                  <a:pic>
                    <a:nvPicPr>
                      <a:cNvPr id="0" name="Object 2"/>
                      <a:cNvPicPr>
                        <a:picLocks noChangeAspect="1" noChangeArrowheads="1"/>
                      </a:cNvPicPr>
                    </a:nvPicPr>
                    <a:blipFill>
                      <a:blip r:embed="rId11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785813" y="1928813"/>
                        <a:ext cx="1443037" cy="1643062"/>
                      </a:xfrm>
                      <a:prstGeom prst="rect">
                        <a:avLst/>
                      </a:prstGeom>
                      <a:noFill/>
                    </a:spPr>
                  </a:pic>
                  <a:sp>
                    <a:nvSpPr>
                      <a:cNvPr id="16388" name="Rectangle 4"/>
                      <a:cNvSpPr>
                        <a:spLocks noChangeArrowheads="1"/>
                      </a:cNvSpPr>
                    </a:nvSpPr>
                    <a:spPr bwMode="auto">
                      <a:xfrm>
                        <a:off x="0" y="0"/>
                        <a:ext cx="9144000" cy="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none" lIns="91440" tIns="45720" rIns="91440" bIns="45720" numCol="1" anchor="ctr" anchorCtr="0" compatLnSpc="1">
                          <a:prstTxWarp prst="textNoShape">
                            <a:avLst/>
                          </a:prstTxWarp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fr-FR"/>
                        </a:p>
                      </a:txBody>
                      <a:useSpRect/>
                    </a:txSp>
                  </a:sp>
                  <a:pic>
                    <a:nvPicPr>
                      <a:cNvPr id="0" name="Object 3"/>
                      <a:cNvPicPr>
                        <a:picLocks noChangeAspect="1" noChangeArrowheads="1"/>
                      </a:cNvPicPr>
                    </a:nvPicPr>
                    <a:blipFill>
                      <a:blip r:embed="rId12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4143375" y="428625"/>
                        <a:ext cx="1500188" cy="1500188"/>
                      </a:xfrm>
                      <a:prstGeom prst="rect">
                        <a:avLst/>
                      </a:prstGeom>
                      <a:noFill/>
                    </a:spPr>
                  </a:pic>
                  <a:sp>
                    <a:nvSpPr>
                      <a:cNvPr id="8" name="ZoneTexte 7"/>
                      <a:cNvSpPr txBox="1"/>
                    </a:nvSpPr>
                    <a:spPr>
                      <a:xfrm>
                        <a:off x="3714744" y="71414"/>
                        <a:ext cx="2500330" cy="307777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1"/>
                        </a:solidFill>
                      </a:ln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fr-FR" sz="1400" b="1" dirty="0" err="1" smtClean="0">
                              <a:solidFill>
                                <a:srgbClr val="FF00FF"/>
                              </a:solidFill>
                              <a:latin typeface="Comic Sans MS" pitchFamily="66" charset="0"/>
                            </a:rPr>
                            <a:t>Butyrolactone</a:t>
                          </a:r>
                          <a:endParaRPr lang="fr-FR" sz="1400" b="1" dirty="0">
                            <a:solidFill>
                              <a:srgbClr val="FF00FF"/>
                            </a:solidFill>
                            <a:latin typeface="Comic Sans MS" pitchFamily="66" charset="0"/>
                          </a:endParaRPr>
                        </a:p>
                      </a:txBody>
                      <a:useSpRect/>
                    </a:txSp>
                  </a:sp>
                  <a:cxnSp>
                    <a:nvCxnSpPr>
                      <a:cNvPr id="10" name="Connecteur droit avec flèche 9"/>
                      <a:cNvCxnSpPr/>
                    </a:nvCxnSpPr>
                    <a:spPr>
                      <a:xfrm flipV="1">
                        <a:off x="2357422" y="1142984"/>
                        <a:ext cx="1785950" cy="1071570"/>
                      </a:xfrm>
                      <a:prstGeom prst="straightConnector1">
                        <a:avLst/>
                      </a:prstGeom>
                      <a:ln>
                        <a:solidFill>
                          <a:srgbClr val="FF00FF"/>
                        </a:solidFill>
                        <a:tailEnd type="arrow"/>
                      </a:ln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6390" name="Rectangle 6"/>
                      <a:cNvSpPr>
                        <a:spLocks noChangeArrowheads="1"/>
                      </a:cNvSpPr>
                    </a:nvSpPr>
                    <a:spPr bwMode="auto">
                      <a:xfrm>
                        <a:off x="0" y="0"/>
                        <a:ext cx="9144000" cy="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none" lIns="91440" tIns="45720" rIns="91440" bIns="45720" numCol="1" anchor="ctr" anchorCtr="0" compatLnSpc="1">
                          <a:prstTxWarp prst="textNoShape">
                            <a:avLst/>
                          </a:prstTxWarp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fr-FR"/>
                        </a:p>
                      </a:txBody>
                      <a:useSpRect/>
                    </a:txSp>
                  </a:sp>
                  <a:pic>
                    <a:nvPicPr>
                      <a:cNvPr id="0" name="Object 4"/>
                      <a:cNvPicPr>
                        <a:picLocks noChangeAspect="1" noChangeArrowheads="1"/>
                      </a:cNvPicPr>
                    </a:nvPicPr>
                    <a:blipFill>
                      <a:blip r:embed="rId13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5643563" y="3835400"/>
                        <a:ext cx="1428750" cy="1593850"/>
                      </a:xfrm>
                      <a:prstGeom prst="rect">
                        <a:avLst/>
                      </a:prstGeom>
                      <a:noFill/>
                    </a:spPr>
                  </a:pic>
                  <a:sp>
                    <a:nvSpPr>
                      <a:cNvPr id="16392" name="Rectangle 8"/>
                      <a:cNvSpPr>
                        <a:spLocks noChangeArrowheads="1"/>
                      </a:cNvSpPr>
                    </a:nvSpPr>
                    <a:spPr bwMode="auto">
                      <a:xfrm>
                        <a:off x="0" y="0"/>
                        <a:ext cx="9144000" cy="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none" lIns="91440" tIns="45720" rIns="91440" bIns="45720" numCol="1" anchor="ctr" anchorCtr="0" compatLnSpc="1">
                          <a:prstTxWarp prst="textNoShape">
                            <a:avLst/>
                          </a:prstTxWarp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fr-FR"/>
                        </a:p>
                      </a:txBody>
                      <a:useSpRect/>
                    </a:txSp>
                  </a:sp>
                  <a:pic>
                    <a:nvPicPr>
                      <a:cNvPr id="0" name="Object 5"/>
                      <a:cNvPicPr>
                        <a:picLocks noChangeAspect="1" noChangeArrowheads="1"/>
                      </a:cNvPicPr>
                    </a:nvPicPr>
                    <a:blipFill>
                      <a:blip r:embed="rId14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5643563" y="2000250"/>
                        <a:ext cx="1285875" cy="1465263"/>
                      </a:xfrm>
                      <a:prstGeom prst="rect">
                        <a:avLst/>
                      </a:prstGeom>
                      <a:noFill/>
                    </a:spPr>
                  </a:pic>
                  <a:cxnSp>
                    <a:nvCxnSpPr>
                      <a:cNvPr id="16" name="Connecteur droit avec flèche 15"/>
                      <a:cNvCxnSpPr/>
                    </a:nvCxnSpPr>
                    <a:spPr>
                      <a:xfrm>
                        <a:off x="2357422" y="2285992"/>
                        <a:ext cx="3286148" cy="642942"/>
                      </a:xfrm>
                      <a:prstGeom prst="straightConnector1">
                        <a:avLst/>
                      </a:prstGeom>
                      <a:ln>
                        <a:solidFill>
                          <a:srgbClr val="FFC000"/>
                        </a:solidFill>
                        <a:tailEnd type="arrow"/>
                      </a:ln>
                    </a:spPr>
                    <a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8" name="Connecteur droit avec flèche 17"/>
                      <a:cNvCxnSpPr/>
                    </a:nvCxnSpPr>
                    <a:spPr>
                      <a:xfrm>
                        <a:off x="2357422" y="2357430"/>
                        <a:ext cx="3071834" cy="2143140"/>
                      </a:xfrm>
                      <a:prstGeom prst="straightConnector1">
                        <a:avLst/>
                      </a:prstGeom>
                      <a:ln>
                        <a:solidFill>
                          <a:srgbClr val="C00000"/>
                        </a:solidFill>
                        <a:tailEnd type="arrow"/>
                      </a:ln>
                    </a:spPr>
                    <a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21" name="ZoneTexte 20"/>
                      <a:cNvSpPr txBox="1"/>
                    </a:nvSpPr>
                    <a:spPr>
                      <a:xfrm>
                        <a:off x="5572132" y="1692463"/>
                        <a:ext cx="1428760" cy="307777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fr-FR" sz="1400" b="1" dirty="0" err="1" smtClean="0">
                              <a:solidFill>
                                <a:srgbClr val="FFC000"/>
                              </a:solidFill>
                              <a:latin typeface="Comic Sans MS" pitchFamily="66" charset="0"/>
                            </a:rPr>
                            <a:t>cyclolignane</a:t>
                          </a:r>
                          <a:endParaRPr lang="fr-FR" sz="1400" b="1" dirty="0">
                            <a:solidFill>
                              <a:srgbClr val="FFC000"/>
                            </a:solidFill>
                            <a:latin typeface="Comic Sans MS" pitchFamily="66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2" name="Ellipse 21"/>
                      <a:cNvSpPr/>
                    </a:nvSpPr>
                    <a:spPr>
                      <a:xfrm>
                        <a:off x="6143636" y="2428868"/>
                        <a:ext cx="71438" cy="45719"/>
                      </a:xfrm>
                      <a:prstGeom prst="ellipse">
                        <a:avLst/>
                      </a:prstGeom>
                      <a:ln>
                        <a:solidFill>
                          <a:srgbClr val="FFC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fr-FR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3" name="ZoneTexte 22"/>
                      <a:cNvSpPr txBox="1"/>
                    </a:nvSpPr>
                    <a:spPr>
                      <a:xfrm>
                        <a:off x="5572132" y="3621289"/>
                        <a:ext cx="1428760" cy="307777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fr-FR" sz="1400" b="1" dirty="0" err="1" smtClean="0">
                              <a:solidFill>
                                <a:srgbClr val="C00000"/>
                              </a:solidFill>
                              <a:latin typeface="Comic Sans MS" pitchFamily="66" charset="0"/>
                            </a:rPr>
                            <a:t>cyclolignane</a:t>
                          </a:r>
                          <a:endParaRPr lang="fr-FR" sz="1400" b="1" dirty="0">
                            <a:solidFill>
                              <a:srgbClr val="C00000"/>
                            </a:solidFill>
                            <a:latin typeface="Comic Sans MS" pitchFamily="66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4" name="Ellipse 23"/>
                      <a:cNvSpPr/>
                    </a:nvSpPr>
                    <a:spPr>
                      <a:xfrm>
                        <a:off x="5929322" y="4454851"/>
                        <a:ext cx="71438" cy="45719"/>
                      </a:xfrm>
                      <a:prstGeom prst="ellips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fr-FR" dirty="0">
                            <a:solidFill>
                              <a:srgbClr val="C0000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5" name="Ellipse 24"/>
                      <a:cNvSpPr/>
                    </a:nvSpPr>
                    <a:spPr>
                      <a:xfrm>
                        <a:off x="5929322" y="4740603"/>
                        <a:ext cx="71438" cy="45719"/>
                      </a:xfrm>
                      <a:prstGeom prst="ellips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fr-FR" dirty="0">
                            <a:solidFill>
                              <a:srgbClr val="C0000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6394" name="Rectangle 10"/>
                      <a:cNvSpPr>
                        <a:spLocks noChangeArrowheads="1"/>
                      </a:cNvSpPr>
                    </a:nvSpPr>
                    <a:spPr bwMode="auto">
                      <a:xfrm>
                        <a:off x="0" y="0"/>
                        <a:ext cx="9144000" cy="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none" lIns="91440" tIns="45720" rIns="91440" bIns="45720" numCol="1" anchor="ctr" anchorCtr="0" compatLnSpc="1">
                          <a:prstTxWarp prst="textNoShape">
                            <a:avLst/>
                          </a:prstTxWarp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fr-FR"/>
                        </a:p>
                      </a:txBody>
                      <a:useSpRect/>
                    </a:txSp>
                  </a:sp>
                  <a:pic>
                    <a:nvPicPr>
                      <a:cNvPr id="0" name="Object 6"/>
                      <a:cNvPicPr>
                        <a:picLocks noChangeAspect="1" noChangeArrowheads="1"/>
                      </a:cNvPicPr>
                    </a:nvPicPr>
                    <a:blipFill>
                      <a:blip r:embed="rId15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3143250" y="5072063"/>
                        <a:ext cx="1643063" cy="1604962"/>
                      </a:xfrm>
                      <a:prstGeom prst="rect">
                        <a:avLst/>
                      </a:prstGeom>
                      <a:noFill/>
                    </a:spPr>
                  </a:pic>
                  <a:cxnSp>
                    <a:nvCxnSpPr>
                      <a:cNvPr id="29" name="Connecteur droit avec flèche 28"/>
                      <a:cNvCxnSpPr/>
                    </a:nvCxnSpPr>
                    <a:spPr>
                      <a:xfrm rot="16200000" flipH="1">
                        <a:off x="1321571" y="3464719"/>
                        <a:ext cx="3071834" cy="1000132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31" name="ZoneTexte 30"/>
                      <a:cNvSpPr txBox="1"/>
                    </a:nvSpPr>
                    <a:spPr>
                      <a:xfrm>
                        <a:off x="4071934" y="6000768"/>
                        <a:ext cx="2714644" cy="307777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fr-FR" sz="1400" b="1" dirty="0" err="1" smtClean="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latin typeface="Comic Sans MS" pitchFamily="66" charset="0"/>
                            </a:rPr>
                            <a:t>Lignane</a:t>
                          </a:r>
                          <a:r>
                            <a:rPr lang="fr-FR" sz="1400" b="1" dirty="0" smtClean="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latin typeface="Comic Sans MS" pitchFamily="66" charset="0"/>
                            </a:rPr>
                            <a:t> </a:t>
                          </a:r>
                          <a:r>
                            <a:rPr lang="fr-FR" sz="1400" b="1" dirty="0" err="1" smtClean="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latin typeface="Comic Sans MS" pitchFamily="66" charset="0"/>
                            </a:rPr>
                            <a:t>furanofuranique</a:t>
                          </a:r>
                          <a:endParaRPr lang="fr-FR" sz="1400" b="1" dirty="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latin typeface="Comic Sans MS" pitchFamily="66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88416B" w:rsidRDefault="0088416B" w:rsidP="000701E9">
      <w:pPr>
        <w:jc w:val="center"/>
      </w:pPr>
    </w:p>
    <w:p w:rsidR="007D7E78" w:rsidRDefault="008174CD" w:rsidP="008D6862">
      <w:pPr>
        <w:jc w:val="both"/>
      </w:pPr>
      <w:r w:rsidRPr="008174CD">
        <w:rPr>
          <w:u w:val="single"/>
        </w:rPr>
        <w:t>Remarque</w:t>
      </w:r>
      <w:r>
        <w:t xml:space="preserve"> : </w:t>
      </w:r>
      <w:r w:rsidR="007D7E78">
        <w:t xml:space="preserve">Les </w:t>
      </w:r>
      <w:r w:rsidRPr="008174CD">
        <w:rPr>
          <w:b/>
          <w:bCs/>
        </w:rPr>
        <w:t>Néolignanes</w:t>
      </w:r>
      <w:r w:rsidR="007D7E78">
        <w:t> </w:t>
      </w:r>
      <w:r w:rsidRPr="008174CD">
        <w:t xml:space="preserve"> sont issus de la lactonisation d’unité phénylpropane mais n’implique qu’un seul C</w:t>
      </w:r>
      <w:r w:rsidRPr="008174CD">
        <w:rPr>
          <w:lang w:val="el-GR"/>
        </w:rPr>
        <w:t>β</w:t>
      </w:r>
      <w:r w:rsidRPr="008174CD">
        <w:t xml:space="preserve"> par des liaisons 8-3’/ 8-1’… </w:t>
      </w:r>
    </w:p>
    <w:p w:rsidR="007D7E78" w:rsidRDefault="00CD461B" w:rsidP="008174CD">
      <w:pPr>
        <w:jc w:val="center"/>
      </w:pPr>
      <w:r>
        <w:rPr>
          <w:noProof/>
          <w:lang w:eastAsia="fr-FR"/>
        </w:rPr>
        <w:pict>
          <v:shape id="_x0000_s1062" type="#_x0000_t202" style="position:absolute;left:0;text-align:left;margin-left:148.15pt;margin-top:87.9pt;width:132.75pt;height:23.1pt;z-index:251662336" stroked="f">
            <v:textbox style="mso-next-textbox:#_x0000_s1062">
              <w:txbxContent>
                <w:p w:rsidR="008174CD" w:rsidRDefault="008174CD" w:rsidP="008174CD">
                  <w:pPr>
                    <w:jc w:val="center"/>
                  </w:pPr>
                  <w:r w:rsidRPr="008174CD">
                    <w:rPr>
                      <w:b/>
                      <w:bCs/>
                    </w:rPr>
                    <w:t>Néolignanes</w:t>
                  </w:r>
                </w:p>
              </w:txbxContent>
            </v:textbox>
          </v:shape>
        </w:pict>
      </w:r>
      <w:r w:rsidR="007D7E78">
        <w:object w:dxaOrig="2970" w:dyaOrig="2025">
          <v:shape id="_x0000_i1026" type="#_x0000_t75" style="width:130.05pt;height:89.2pt" o:ole="">
            <v:imagedata r:id="rId16" o:title=""/>
          </v:shape>
          <o:OLEObject Type="Embed" ProgID="ISISServer" ShapeID="_x0000_i1026" DrawAspect="Content" ObjectID="_1483946812" r:id="rId17"/>
        </w:object>
      </w:r>
    </w:p>
    <w:p w:rsidR="008D6862" w:rsidRPr="008D6862" w:rsidRDefault="008D6862" w:rsidP="008D6862">
      <w:pPr>
        <w:jc w:val="both"/>
        <w:rPr>
          <w:b/>
          <w:bCs/>
        </w:rPr>
      </w:pPr>
    </w:p>
    <w:p w:rsidR="00F53511" w:rsidRDefault="00272557" w:rsidP="00F53511">
      <w:pPr>
        <w:spacing w:after="0"/>
        <w:jc w:val="both"/>
        <w:rPr>
          <w:b/>
          <w:bCs/>
          <w:u w:val="single"/>
        </w:rPr>
      </w:pPr>
      <w:r>
        <w:rPr>
          <w:b/>
          <w:bCs/>
          <w:u w:val="single"/>
        </w:rPr>
        <w:t>V</w:t>
      </w:r>
      <w:r w:rsidRPr="00272557">
        <w:rPr>
          <w:b/>
          <w:bCs/>
          <w:u w:val="single"/>
        </w:rPr>
        <w:t>. Propriétés pharmacologiques et emplois :</w:t>
      </w:r>
    </w:p>
    <w:p w:rsidR="007D7E78" w:rsidRPr="00F53511" w:rsidRDefault="00272557" w:rsidP="00F53511">
      <w:pPr>
        <w:spacing w:after="0"/>
        <w:jc w:val="both"/>
        <w:rPr>
          <w:b/>
          <w:bCs/>
          <w:u w:val="single"/>
        </w:rPr>
      </w:pPr>
      <w:r>
        <w:t xml:space="preserve">Les lignanes possèdent des propriétés </w:t>
      </w:r>
      <w:r w:rsidRPr="00F53511">
        <w:rPr>
          <w:highlight w:val="yellow"/>
        </w:rPr>
        <w:t>antimitotiques</w:t>
      </w:r>
      <w:r>
        <w:t xml:space="preserve">, seuls les dérivés hémisynthétiques de la </w:t>
      </w:r>
      <w:r w:rsidRPr="00F53511">
        <w:rPr>
          <w:b/>
          <w:bCs/>
        </w:rPr>
        <w:t>podophyllotoxine</w:t>
      </w:r>
      <w:r>
        <w:t xml:space="preserve">  sont exploités en thérapeutique.</w:t>
      </w:r>
    </w:p>
    <w:p w:rsidR="00F53511" w:rsidRPr="00F53511" w:rsidRDefault="00F53511" w:rsidP="00F53511">
      <w:pPr>
        <w:spacing w:after="0"/>
        <w:jc w:val="both"/>
      </w:pPr>
      <w:r w:rsidRPr="00F53511">
        <w:t>Certains lignanes possèdent les propriétés suivantes :</w:t>
      </w:r>
    </w:p>
    <w:p w:rsidR="00000000" w:rsidRPr="00F53511" w:rsidRDefault="00903F05" w:rsidP="00F53511">
      <w:pPr>
        <w:numPr>
          <w:ilvl w:val="0"/>
          <w:numId w:val="12"/>
        </w:numPr>
        <w:spacing w:after="0"/>
        <w:jc w:val="both"/>
      </w:pPr>
      <w:r w:rsidRPr="00F53511">
        <w:t>Inhibiteurs enzymatiques (phosphodiesterase de l’AMPc, 5-lipoxygenase)</w:t>
      </w:r>
    </w:p>
    <w:p w:rsidR="00000000" w:rsidRPr="00F53511" w:rsidRDefault="00903F05" w:rsidP="00F53511">
      <w:pPr>
        <w:numPr>
          <w:ilvl w:val="0"/>
          <w:numId w:val="12"/>
        </w:numPr>
        <w:spacing w:after="0"/>
        <w:jc w:val="both"/>
      </w:pPr>
      <w:r w:rsidRPr="00F53511">
        <w:t xml:space="preserve">Propriétés </w:t>
      </w:r>
      <w:r w:rsidRPr="00F53511">
        <w:t xml:space="preserve">antioxydantes </w:t>
      </w:r>
    </w:p>
    <w:p w:rsidR="00000000" w:rsidRPr="00F53511" w:rsidRDefault="00903F05" w:rsidP="00F53511">
      <w:pPr>
        <w:numPr>
          <w:ilvl w:val="0"/>
          <w:numId w:val="12"/>
        </w:numPr>
        <w:spacing w:after="0"/>
        <w:jc w:val="both"/>
      </w:pPr>
      <w:r w:rsidRPr="00F53511">
        <w:t>Antiagrégants plaquettaires</w:t>
      </w:r>
    </w:p>
    <w:p w:rsidR="00000000" w:rsidRPr="00F53511" w:rsidRDefault="00903F05" w:rsidP="00F53511">
      <w:pPr>
        <w:numPr>
          <w:ilvl w:val="0"/>
          <w:numId w:val="12"/>
        </w:numPr>
        <w:spacing w:after="0"/>
        <w:jc w:val="both"/>
      </w:pPr>
      <w:r w:rsidRPr="00F53511">
        <w:t>Anti hypertenseurs</w:t>
      </w:r>
    </w:p>
    <w:p w:rsidR="00000000" w:rsidRPr="00F53511" w:rsidRDefault="00903F05" w:rsidP="00F53511">
      <w:pPr>
        <w:numPr>
          <w:ilvl w:val="0"/>
          <w:numId w:val="12"/>
        </w:numPr>
        <w:spacing w:after="0"/>
        <w:jc w:val="both"/>
      </w:pPr>
      <w:r w:rsidRPr="00F53511">
        <w:t xml:space="preserve">Activité antifongique, antiprotozoaires et  antivirales (cyclolignanes) </w:t>
      </w:r>
    </w:p>
    <w:p w:rsidR="00AD3EBC" w:rsidRDefault="00272557" w:rsidP="00AD3EBC">
      <w:pPr>
        <w:spacing w:after="0"/>
        <w:jc w:val="both"/>
      </w:pPr>
      <w:r>
        <w:t xml:space="preserve">Les </w:t>
      </w:r>
      <w:r w:rsidRPr="00F53511">
        <w:rPr>
          <w:b/>
        </w:rPr>
        <w:t>flavonolignanes</w:t>
      </w:r>
      <w:r>
        <w:t xml:space="preserve"> du Chardon Marie ont des propriétés hépatoprotectrices.</w:t>
      </w:r>
    </w:p>
    <w:p w:rsidR="00272557" w:rsidRDefault="00272557" w:rsidP="00AD3EBC">
      <w:pPr>
        <w:spacing w:after="0"/>
        <w:jc w:val="both"/>
      </w:pPr>
      <w:r>
        <w:t xml:space="preserve">Par contre, les </w:t>
      </w:r>
      <w:r w:rsidRPr="00F53511">
        <w:rPr>
          <w:b/>
        </w:rPr>
        <w:t>néolignanes</w:t>
      </w:r>
      <w:r>
        <w:t xml:space="preserve"> possèdent des propriétés antiallergiques et antirhumatismales.</w:t>
      </w:r>
    </w:p>
    <w:p w:rsidR="00000000" w:rsidRPr="00F53511" w:rsidRDefault="00903F05" w:rsidP="00F53511">
      <w:pPr>
        <w:numPr>
          <w:ilvl w:val="0"/>
          <w:numId w:val="14"/>
        </w:numPr>
        <w:spacing w:after="0"/>
        <w:jc w:val="both"/>
        <w:rPr>
          <w:bCs/>
        </w:rPr>
      </w:pPr>
      <w:r w:rsidRPr="00F53511">
        <w:rPr>
          <w:bCs/>
        </w:rPr>
        <w:lastRenderedPageBreak/>
        <w:t xml:space="preserve">Les dernières études attribuent aux </w:t>
      </w:r>
      <w:r w:rsidRPr="00F53511">
        <w:rPr>
          <w:b/>
          <w:bCs/>
        </w:rPr>
        <w:t>entérolignanes</w:t>
      </w:r>
      <w:r w:rsidRPr="00F53511">
        <w:rPr>
          <w:bCs/>
        </w:rPr>
        <w:t xml:space="preserve"> (lignanes alimentaires métaboli</w:t>
      </w:r>
      <w:r w:rsidRPr="00F53511">
        <w:rPr>
          <w:bCs/>
        </w:rPr>
        <w:t xml:space="preserve">sés par la flore intestinale de l’homme) la diminution du risque de certains </w:t>
      </w:r>
      <w:r w:rsidRPr="00F53511">
        <w:rPr>
          <w:bCs/>
        </w:rPr>
        <w:t>cancers</w:t>
      </w:r>
      <w:r w:rsidRPr="00F53511">
        <w:rPr>
          <w:bCs/>
        </w:rPr>
        <w:t xml:space="preserve"> (prostate, colon et sein), il proviennent principalement des graines de sésame, du seigle, des enveloppes de céréales, du thé et de certains fruits et légumes (ail, brocol</w:t>
      </w:r>
      <w:r w:rsidRPr="00F53511">
        <w:rPr>
          <w:bCs/>
        </w:rPr>
        <w:t xml:space="preserve">i, fraise...) . </w:t>
      </w:r>
    </w:p>
    <w:p w:rsidR="00F53511" w:rsidRDefault="00F53511" w:rsidP="008174CD">
      <w:pPr>
        <w:spacing w:after="0"/>
        <w:jc w:val="both"/>
        <w:rPr>
          <w:b/>
          <w:bCs/>
          <w:u w:val="single"/>
        </w:rPr>
      </w:pPr>
    </w:p>
    <w:p w:rsidR="00F25D55" w:rsidRPr="008174CD" w:rsidRDefault="00F25D55" w:rsidP="008174CD">
      <w:pPr>
        <w:spacing w:after="0"/>
        <w:jc w:val="both"/>
        <w:rPr>
          <w:b/>
          <w:bCs/>
          <w:u w:val="single"/>
        </w:rPr>
      </w:pPr>
      <w:r>
        <w:rPr>
          <w:b/>
          <w:bCs/>
          <w:u w:val="single"/>
        </w:rPr>
        <w:t>VI</w:t>
      </w:r>
      <w:r w:rsidR="009B1F54" w:rsidRPr="00F25D55">
        <w:rPr>
          <w:b/>
          <w:bCs/>
          <w:u w:val="single"/>
        </w:rPr>
        <w:t>. Principales drogues à lignanes</w:t>
      </w:r>
      <w:r w:rsidRPr="00F25D55">
        <w:rPr>
          <w:b/>
          <w:bCs/>
          <w:u w:val="single"/>
        </w:rPr>
        <w:t> :</w:t>
      </w:r>
    </w:p>
    <w:p w:rsidR="009B1F54" w:rsidRDefault="00F25D55" w:rsidP="001F297D">
      <w:pPr>
        <w:jc w:val="center"/>
      </w:pPr>
      <w:r w:rsidRPr="00F25D55">
        <w:rPr>
          <w:highlight w:val="yellow"/>
        </w:rPr>
        <w:t>Podophylle :</w:t>
      </w:r>
      <w:r>
        <w:t xml:space="preserve"> </w:t>
      </w:r>
      <w:r w:rsidRPr="00F25D55">
        <w:rPr>
          <w:i/>
          <w:iCs/>
        </w:rPr>
        <w:t>Podophyllum</w:t>
      </w:r>
      <w:r>
        <w:t xml:space="preserve"> </w:t>
      </w:r>
      <w:r w:rsidRPr="00F25D55">
        <w:rPr>
          <w:i/>
          <w:iCs/>
        </w:rPr>
        <w:t>peltatum</w:t>
      </w:r>
      <w:r>
        <w:t xml:space="preserve"> L . Berberidacées</w:t>
      </w:r>
    </w:p>
    <w:p w:rsidR="001F297D" w:rsidRDefault="001F297D" w:rsidP="001F297D">
      <w:pPr>
        <w:jc w:val="center"/>
      </w:pPr>
      <w:r>
        <w:rPr>
          <w:noProof/>
          <w:lang w:eastAsia="fr-FR"/>
        </w:rPr>
        <w:drawing>
          <wp:inline distT="0" distB="0" distL="0" distR="0">
            <wp:extent cx="2860628" cy="1971151"/>
            <wp:effectExtent l="19050" t="0" r="0" b="0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861" cy="1969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D55" w:rsidRDefault="00CE6521" w:rsidP="00F25D55">
      <w:pPr>
        <w:jc w:val="both"/>
      </w:pPr>
      <w:r>
        <w:rPr>
          <w:b/>
          <w:bCs/>
        </w:rPr>
        <w:t xml:space="preserve">Description de la </w:t>
      </w:r>
      <w:r w:rsidR="00F25D55" w:rsidRPr="00F25D55">
        <w:rPr>
          <w:b/>
          <w:bCs/>
        </w:rPr>
        <w:t>Plante</w:t>
      </w:r>
      <w:r w:rsidR="00F25D55">
        <w:t> : petite plante vivace par un rhizome, à tige de 30cm de haut terminée par deux feuilles opposées, à fleur solitaire blanche. C’est une espèce spontanée des forets humides des Etats Unis et du Canada.</w:t>
      </w:r>
    </w:p>
    <w:p w:rsidR="00B858B0" w:rsidRDefault="00F25D55" w:rsidP="00B858B0">
      <w:pPr>
        <w:spacing w:after="0"/>
        <w:jc w:val="both"/>
      </w:pPr>
      <w:r w:rsidRPr="00B858B0">
        <w:rPr>
          <w:b/>
          <w:bCs/>
        </w:rPr>
        <w:t>Drogue</w:t>
      </w:r>
      <w:r>
        <w:t xml:space="preserve"> : </w:t>
      </w:r>
      <w:r w:rsidR="00CE6521">
        <w:rPr>
          <w:highlight w:val="yellow"/>
        </w:rPr>
        <w:t>L</w:t>
      </w:r>
      <w:r w:rsidR="00B858B0" w:rsidRPr="00B858B0">
        <w:rPr>
          <w:highlight w:val="yellow"/>
        </w:rPr>
        <w:t>e rhizome</w:t>
      </w:r>
    </w:p>
    <w:p w:rsidR="00B858B0" w:rsidRDefault="00B858B0" w:rsidP="00B858B0">
      <w:pPr>
        <w:spacing w:after="0"/>
        <w:jc w:val="both"/>
      </w:pPr>
      <w:r w:rsidRPr="00CE6521">
        <w:rPr>
          <w:u w:val="single"/>
        </w:rPr>
        <w:t>Description macroscopique</w:t>
      </w:r>
      <w:r>
        <w:t> : petit doigt aplatit, brun formé d’articles renflés au niveau des nœuds, cassure claire, odeur faible et saveur acre et amère.</w:t>
      </w:r>
    </w:p>
    <w:p w:rsidR="00B858B0" w:rsidRDefault="00B858B0" w:rsidP="00B858B0">
      <w:pPr>
        <w:spacing w:after="0"/>
        <w:jc w:val="both"/>
      </w:pPr>
      <w:r w:rsidRPr="00CE6521">
        <w:rPr>
          <w:u w:val="single"/>
        </w:rPr>
        <w:t>Description microscopique</w:t>
      </w:r>
      <w:r>
        <w:t xml:space="preserve"> : présence de résine, prismes d’oxalates de Ca et de grains d’amidon. Ces éléments permettent de différenciés avec d’autres espèces : </w:t>
      </w:r>
      <w:r w:rsidRPr="00B858B0">
        <w:rPr>
          <w:i/>
          <w:iCs/>
        </w:rPr>
        <w:t xml:space="preserve">P. hexandrum </w:t>
      </w:r>
      <w:r>
        <w:t>originaire d’Inde.</w:t>
      </w:r>
    </w:p>
    <w:p w:rsidR="00F53511" w:rsidRDefault="00B858B0" w:rsidP="00F53511">
      <w:pPr>
        <w:jc w:val="both"/>
      </w:pPr>
      <w:r>
        <w:t xml:space="preserve">              </w:t>
      </w:r>
      <w:r w:rsidR="00CE6521">
        <w:t xml:space="preserve">    </w:t>
      </w:r>
      <w:r w:rsidRPr="000271F0">
        <w:rPr>
          <w:highlight w:val="yellow"/>
        </w:rPr>
        <w:t>La résine</w:t>
      </w:r>
      <w:r>
        <w:t xml:space="preserve"> : elle est extraite du rhizome par l’alcool 90° puis additionnée d’un grand volume d’eau acidifiée, on obtient 3 à 10% d’une résine = </w:t>
      </w:r>
      <w:r w:rsidRPr="00B858B0">
        <w:rPr>
          <w:b/>
          <w:bCs/>
        </w:rPr>
        <w:t>podophylline</w:t>
      </w:r>
      <w:r>
        <w:t xml:space="preserve"> de couleur jaune.</w:t>
      </w:r>
    </w:p>
    <w:p w:rsidR="00B858B0" w:rsidRPr="00F53511" w:rsidRDefault="00B858B0" w:rsidP="00F53511">
      <w:pPr>
        <w:spacing w:after="0"/>
        <w:jc w:val="both"/>
      </w:pPr>
      <w:r w:rsidRPr="000271F0">
        <w:rPr>
          <w:b/>
          <w:bCs/>
        </w:rPr>
        <w:t>Composition chimique :</w:t>
      </w:r>
    </w:p>
    <w:p w:rsidR="00B858B0" w:rsidRPr="009828F5" w:rsidRDefault="00CE6521" w:rsidP="00F53511">
      <w:pPr>
        <w:spacing w:after="0"/>
        <w:jc w:val="both"/>
        <w:rPr>
          <w:rFonts w:ascii="Arial" w:hAnsi="Arial" w:cs="Arial"/>
        </w:rPr>
      </w:pPr>
      <w:r>
        <w:t xml:space="preserve">          </w:t>
      </w:r>
      <w:r w:rsidR="00F37472" w:rsidRPr="00CE6521">
        <w:rPr>
          <w:u w:val="single"/>
        </w:rPr>
        <w:t>Le rhizome</w:t>
      </w:r>
      <w:r w:rsidR="00F37472">
        <w:t> : renferme 3 à 6% de résine</w:t>
      </w:r>
      <w:r w:rsidR="009828F5">
        <w:t xml:space="preserve"> ou </w:t>
      </w:r>
      <w:r w:rsidR="009828F5" w:rsidRPr="009828F5">
        <w:t>podophylline</w:t>
      </w:r>
    </w:p>
    <w:p w:rsidR="00F37472" w:rsidRDefault="00F37472" w:rsidP="00F53511">
      <w:pPr>
        <w:spacing w:after="0" w:line="240" w:lineRule="auto"/>
        <w:jc w:val="both"/>
      </w:pPr>
      <w:r>
        <w:t xml:space="preserve">          </w:t>
      </w:r>
      <w:r w:rsidRPr="00CE6521">
        <w:rPr>
          <w:u w:val="single"/>
        </w:rPr>
        <w:t>La résine</w:t>
      </w:r>
      <w:r>
        <w:t xml:space="preserve"> : renferme la </w:t>
      </w:r>
      <w:r w:rsidRPr="00CE6521">
        <w:rPr>
          <w:b/>
          <w:bCs/>
        </w:rPr>
        <w:t>podophyllotoxine</w:t>
      </w:r>
      <w:r>
        <w:t xml:space="preserve"> à 20% et </w:t>
      </w:r>
      <w:r w:rsidRPr="00CE6521">
        <w:rPr>
          <w:b/>
          <w:bCs/>
        </w:rPr>
        <w:t>α</w:t>
      </w:r>
      <w:r>
        <w:t xml:space="preserve"> </w:t>
      </w:r>
      <w:r w:rsidRPr="00F37472">
        <w:t xml:space="preserve">et </w:t>
      </w:r>
      <w:r w:rsidRPr="00CE6521">
        <w:rPr>
          <w:rFonts w:cs="Times New Roman"/>
          <w:b/>
          <w:bCs/>
        </w:rPr>
        <w:t>β</w:t>
      </w:r>
      <w:r>
        <w:t xml:space="preserve"> </w:t>
      </w:r>
      <w:r w:rsidRPr="00CE6521">
        <w:rPr>
          <w:b/>
          <w:bCs/>
        </w:rPr>
        <w:t>peltatine</w:t>
      </w:r>
      <w:r>
        <w:t xml:space="preserve"> (respectivement 5 à 10%)</w:t>
      </w:r>
    </w:p>
    <w:p w:rsidR="008174CD" w:rsidRDefault="00CD461B" w:rsidP="00F53511">
      <w:pPr>
        <w:spacing w:before="240" w:after="0" w:line="240" w:lineRule="auto"/>
      </w:pPr>
      <w:r>
        <w:rPr>
          <w:noProof/>
          <w:lang w:eastAsia="fr-FR"/>
        </w:rPr>
        <w:pict>
          <v:shape id="_x0000_s1064" type="#_x0000_t75" style="position:absolute;margin-left:146.65pt;margin-top:2.9pt;width:145.45pt;height:154.5pt;z-index:251663360">
            <v:imagedata r:id="rId19" o:title=""/>
          </v:shape>
          <o:OLEObject Type="Embed" ProgID="ISISServer" ShapeID="_x0000_s1064" DrawAspect="Content" ObjectID="_1483946814" r:id="rId20"/>
        </w:pict>
      </w:r>
    </w:p>
    <w:p w:rsidR="008174CD" w:rsidRDefault="008174CD" w:rsidP="00F53511">
      <w:pPr>
        <w:spacing w:before="240" w:after="0" w:line="240" w:lineRule="auto"/>
      </w:pPr>
    </w:p>
    <w:p w:rsidR="008174CD" w:rsidRDefault="008174CD" w:rsidP="00F53511">
      <w:pPr>
        <w:spacing w:before="240" w:after="0" w:line="240" w:lineRule="auto"/>
      </w:pPr>
    </w:p>
    <w:p w:rsidR="008174CD" w:rsidRDefault="008174CD" w:rsidP="00F53511">
      <w:pPr>
        <w:spacing w:before="240" w:after="0" w:line="240" w:lineRule="auto"/>
      </w:pPr>
    </w:p>
    <w:p w:rsidR="00F53511" w:rsidRDefault="00F53511" w:rsidP="00F53511">
      <w:pPr>
        <w:spacing w:before="240" w:after="0" w:line="240" w:lineRule="auto"/>
      </w:pPr>
    </w:p>
    <w:p w:rsidR="008174CD" w:rsidRDefault="008174CD" w:rsidP="00F53511">
      <w:pPr>
        <w:spacing w:before="240" w:after="0" w:line="240" w:lineRule="auto"/>
        <w:jc w:val="center"/>
      </w:pPr>
    </w:p>
    <w:p w:rsidR="00272557" w:rsidRDefault="00F37472" w:rsidP="00F53511">
      <w:pPr>
        <w:spacing w:before="240" w:after="0" w:line="240" w:lineRule="auto"/>
        <w:jc w:val="center"/>
      </w:pPr>
      <w:r>
        <w:t>Podophyllotoxine</w:t>
      </w:r>
    </w:p>
    <w:p w:rsidR="00F37472" w:rsidRPr="00966A37" w:rsidRDefault="00F37472" w:rsidP="00F53511">
      <w:pPr>
        <w:spacing w:before="240" w:after="0"/>
        <w:rPr>
          <w:b/>
          <w:bCs/>
        </w:rPr>
      </w:pPr>
      <w:r w:rsidRPr="00966A37">
        <w:rPr>
          <w:b/>
          <w:bCs/>
        </w:rPr>
        <w:lastRenderedPageBreak/>
        <w:t>Propriétés pharmacologiques et emplois :</w:t>
      </w:r>
    </w:p>
    <w:p w:rsidR="00E253DD" w:rsidRDefault="00E253DD" w:rsidP="00E253DD">
      <w:pPr>
        <w:spacing w:after="0"/>
      </w:pPr>
      <w:r w:rsidRPr="008174CD">
        <w:rPr>
          <w:highlight w:val="yellow"/>
          <w:u w:val="single"/>
        </w:rPr>
        <w:t>La résine</w:t>
      </w:r>
      <w:r>
        <w:t> :</w:t>
      </w:r>
      <w:r w:rsidR="00966A37">
        <w:t xml:space="preserve"> (podophylline)</w:t>
      </w:r>
    </w:p>
    <w:p w:rsidR="00E253DD" w:rsidRDefault="00903F05" w:rsidP="009828F5">
      <w:pPr>
        <w:pStyle w:val="Paragraphedeliste"/>
        <w:numPr>
          <w:ilvl w:val="0"/>
          <w:numId w:val="7"/>
        </w:numPr>
      </w:pPr>
      <w:r w:rsidRPr="009828F5">
        <w:t xml:space="preserve">Laxative stimulant </w:t>
      </w:r>
    </w:p>
    <w:p w:rsidR="00E253DD" w:rsidRDefault="00E253DD" w:rsidP="00966A37">
      <w:pPr>
        <w:pStyle w:val="Paragraphedeliste"/>
        <w:numPr>
          <w:ilvl w:val="0"/>
          <w:numId w:val="7"/>
        </w:numPr>
        <w:spacing w:after="0"/>
        <w:jc w:val="both"/>
      </w:pPr>
      <w:r>
        <w:t>Vermifuge (antihelminthique)</w:t>
      </w:r>
    </w:p>
    <w:p w:rsidR="00E253DD" w:rsidRDefault="00E253DD" w:rsidP="00966A37">
      <w:pPr>
        <w:pStyle w:val="Paragraphedeliste"/>
        <w:numPr>
          <w:ilvl w:val="0"/>
          <w:numId w:val="7"/>
        </w:numPr>
        <w:spacing w:after="0"/>
        <w:jc w:val="both"/>
      </w:pPr>
      <w:r>
        <w:t>Antimitotique (grande toxicité)</w:t>
      </w:r>
    </w:p>
    <w:p w:rsidR="00E253DD" w:rsidRDefault="00E253DD" w:rsidP="00966A37">
      <w:pPr>
        <w:spacing w:after="0"/>
        <w:jc w:val="both"/>
      </w:pPr>
      <w:r>
        <w:t>La résine anciennement employée comme laxative et cholagogue, n’est pratiquement plus utilisée actuellement et sert exclusivement à l’extraction de la podophyllotoxine.</w:t>
      </w:r>
    </w:p>
    <w:p w:rsidR="00E253DD" w:rsidRDefault="00E253DD" w:rsidP="009828F5">
      <w:r>
        <w:t xml:space="preserve">La podophyllotoxine est extraite d’une autre espèce </w:t>
      </w:r>
      <w:r w:rsidRPr="00E253DD">
        <w:rPr>
          <w:i/>
          <w:iCs/>
        </w:rPr>
        <w:t>P.hexandrum</w:t>
      </w:r>
      <w:r w:rsidR="009828F5">
        <w:t xml:space="preserve">  </w:t>
      </w:r>
      <w:r w:rsidR="009828F5" w:rsidRPr="009828F5">
        <w:t>(renferme  6 à 12% de ré</w:t>
      </w:r>
      <w:r w:rsidR="009828F5">
        <w:t>sine dont la concentration en podophyllotoxine  est de 40%)</w:t>
      </w:r>
    </w:p>
    <w:p w:rsidR="00E253DD" w:rsidRDefault="00E253DD" w:rsidP="00E253DD">
      <w:pPr>
        <w:spacing w:after="0"/>
      </w:pPr>
      <w:r w:rsidRPr="008174CD">
        <w:rPr>
          <w:highlight w:val="yellow"/>
          <w:u w:val="single"/>
        </w:rPr>
        <w:t>La podophyllotoxine</w:t>
      </w:r>
      <w:r>
        <w:t> :</w:t>
      </w:r>
    </w:p>
    <w:p w:rsidR="00E253DD" w:rsidRDefault="00E253DD" w:rsidP="00966A37">
      <w:pPr>
        <w:pStyle w:val="Paragraphedeliste"/>
        <w:numPr>
          <w:ilvl w:val="0"/>
          <w:numId w:val="9"/>
        </w:numPr>
        <w:spacing w:after="0"/>
        <w:jc w:val="both"/>
      </w:pPr>
      <w:r>
        <w:t>Emétisante</w:t>
      </w:r>
    </w:p>
    <w:p w:rsidR="00E253DD" w:rsidRDefault="00E253DD" w:rsidP="00966A37">
      <w:pPr>
        <w:pStyle w:val="Paragraphedeliste"/>
        <w:numPr>
          <w:ilvl w:val="0"/>
          <w:numId w:val="9"/>
        </w:numPr>
        <w:spacing w:after="0"/>
        <w:jc w:val="both"/>
      </w:pPr>
      <w:r>
        <w:t>Laxative</w:t>
      </w:r>
    </w:p>
    <w:p w:rsidR="00E253DD" w:rsidRDefault="00E253DD" w:rsidP="00966A37">
      <w:pPr>
        <w:pStyle w:val="Paragraphedeliste"/>
        <w:numPr>
          <w:ilvl w:val="0"/>
          <w:numId w:val="9"/>
        </w:numPr>
        <w:spacing w:after="0"/>
        <w:jc w:val="both"/>
      </w:pPr>
      <w:r>
        <w:t>Vermifuge</w:t>
      </w:r>
    </w:p>
    <w:p w:rsidR="00E253DD" w:rsidRDefault="00E253DD" w:rsidP="00966A37">
      <w:pPr>
        <w:pStyle w:val="Paragraphedeliste"/>
        <w:numPr>
          <w:ilvl w:val="0"/>
          <w:numId w:val="9"/>
        </w:numPr>
        <w:spacing w:after="0"/>
        <w:jc w:val="both"/>
      </w:pPr>
      <w:r>
        <w:t>Antimitotique (très toxique)</w:t>
      </w:r>
    </w:p>
    <w:p w:rsidR="00966A37" w:rsidRDefault="00966A37" w:rsidP="00966A37">
      <w:pPr>
        <w:spacing w:after="0"/>
        <w:jc w:val="both"/>
      </w:pPr>
    </w:p>
    <w:p w:rsidR="00E253DD" w:rsidRDefault="00E253DD" w:rsidP="00966A37">
      <w:pPr>
        <w:spacing w:after="0"/>
        <w:jc w:val="both"/>
      </w:pPr>
      <w:r w:rsidRPr="00966A37">
        <w:rPr>
          <w:u w:val="single"/>
        </w:rPr>
        <w:t xml:space="preserve">Mécanisme </w:t>
      </w:r>
      <w:r w:rsidRPr="004B04E5">
        <w:rPr>
          <w:u w:val="single"/>
        </w:rPr>
        <w:t>d’action </w:t>
      </w:r>
      <w:r w:rsidR="004B04E5" w:rsidRPr="004B04E5">
        <w:rPr>
          <w:u w:val="single"/>
        </w:rPr>
        <w:t>de la podophyllotoxine</w:t>
      </w:r>
      <w:r>
        <w:t xml:space="preserve">: </w:t>
      </w:r>
      <w:r w:rsidR="00460344">
        <w:t xml:space="preserve">c’est un </w:t>
      </w:r>
      <w:r w:rsidR="005375B4" w:rsidRPr="004B04E5">
        <w:rPr>
          <w:b/>
          <w:bCs/>
        </w:rPr>
        <w:t>poison du fuseau</w:t>
      </w:r>
      <w:r w:rsidR="00460344">
        <w:t>, ainsi il</w:t>
      </w:r>
      <w:r w:rsidR="005375B4">
        <w:t xml:space="preserve"> stoppe la division cellulaire au début de la métaphase.</w:t>
      </w:r>
    </w:p>
    <w:p w:rsidR="00966A37" w:rsidRDefault="00966A37" w:rsidP="00966A37">
      <w:pPr>
        <w:spacing w:after="0"/>
        <w:jc w:val="both"/>
      </w:pPr>
    </w:p>
    <w:p w:rsidR="005375B4" w:rsidRDefault="005375B4" w:rsidP="00966A37">
      <w:pPr>
        <w:spacing w:after="0"/>
        <w:jc w:val="both"/>
      </w:pPr>
      <w:r>
        <w:t>La podophyllotoxine est employée  principalement :</w:t>
      </w:r>
    </w:p>
    <w:p w:rsidR="005375B4" w:rsidRDefault="005375B4" w:rsidP="00966A37">
      <w:pPr>
        <w:pStyle w:val="Paragraphedeliste"/>
        <w:numPr>
          <w:ilvl w:val="0"/>
          <w:numId w:val="10"/>
        </w:numPr>
        <w:spacing w:after="0"/>
        <w:jc w:val="both"/>
      </w:pPr>
      <w:r>
        <w:t xml:space="preserve">Pour des propriétés antimitotiques uniquement en usage topique pour traiter des condylomes </w:t>
      </w:r>
      <w:r w:rsidR="00966A37">
        <w:t>externes</w:t>
      </w:r>
      <w:r>
        <w:t xml:space="preserve">, ex : </w:t>
      </w:r>
      <w:r w:rsidRPr="00966A37">
        <w:rPr>
          <w:b/>
          <w:bCs/>
        </w:rPr>
        <w:t>CONDYLINE*</w:t>
      </w:r>
      <w:r w:rsidR="00460344">
        <w:t xml:space="preserve"> (</w:t>
      </w:r>
      <w:r w:rsidR="00460344" w:rsidRPr="00460344">
        <w:t xml:space="preserve">solution alcoolique à 0.5% </w:t>
      </w:r>
      <w:r>
        <w:t xml:space="preserve"> pour application locale)</w:t>
      </w:r>
    </w:p>
    <w:p w:rsidR="00966A37" w:rsidRDefault="002E134C" w:rsidP="00337A72">
      <w:pPr>
        <w:pStyle w:val="Paragraphedeliste"/>
        <w:numPr>
          <w:ilvl w:val="0"/>
          <w:numId w:val="10"/>
        </w:numPr>
        <w:spacing w:after="0"/>
        <w:jc w:val="both"/>
      </w:pPr>
      <w:r>
        <w:t xml:space="preserve">Obtention de dérivés hémi-synthétiques prescrit en milieu hospitalier : </w:t>
      </w:r>
      <w:r w:rsidRPr="002E134C">
        <w:rPr>
          <w:b/>
          <w:bCs/>
        </w:rPr>
        <w:t>Téniposide</w:t>
      </w:r>
      <w:r>
        <w:t xml:space="preserve"> et </w:t>
      </w:r>
      <w:r w:rsidR="00060354">
        <w:rPr>
          <w:b/>
          <w:bCs/>
        </w:rPr>
        <w:t>éto</w:t>
      </w:r>
      <w:r w:rsidRPr="002E134C">
        <w:rPr>
          <w:b/>
          <w:bCs/>
        </w:rPr>
        <w:t>poside</w:t>
      </w:r>
      <w:r>
        <w:rPr>
          <w:b/>
          <w:bCs/>
        </w:rPr>
        <w:t>.</w:t>
      </w:r>
      <w:r w:rsidR="00966A37">
        <w:rPr>
          <w:b/>
          <w:bCs/>
        </w:rPr>
        <w:t xml:space="preserve"> </w:t>
      </w:r>
      <w:r>
        <w:t xml:space="preserve">Ces molécules inhibent </w:t>
      </w:r>
      <w:r w:rsidR="00FE1724">
        <w:t>la topoisomérase II (enzyme nécessaire à la réplication de l’ADN)</w:t>
      </w:r>
    </w:p>
    <w:p w:rsidR="00060354" w:rsidRDefault="00060354" w:rsidP="00337A72">
      <w:pPr>
        <w:spacing w:after="0"/>
        <w:jc w:val="both"/>
      </w:pPr>
    </w:p>
    <w:p w:rsidR="00FE1724" w:rsidRDefault="00FE1724" w:rsidP="00337A72">
      <w:pPr>
        <w:spacing w:after="0"/>
        <w:jc w:val="both"/>
      </w:pPr>
      <w:r>
        <w:t xml:space="preserve">Ces molécules </w:t>
      </w:r>
      <w:r w:rsidR="00060354">
        <w:t xml:space="preserve">hémi-synthétiques </w:t>
      </w:r>
      <w:r>
        <w:t>sont employée</w:t>
      </w:r>
      <w:r w:rsidR="00966A37">
        <w:t>s en mono ou polychimiothérapie</w:t>
      </w:r>
      <w:r>
        <w:t>, administrées uni</w:t>
      </w:r>
      <w:r w:rsidR="00966A37">
        <w:t>quement en  perfusion IV pour le</w:t>
      </w:r>
      <w:r>
        <w:t xml:space="preserve"> traitement de :</w:t>
      </w:r>
    </w:p>
    <w:p w:rsidR="00FE1724" w:rsidRDefault="00FE1724" w:rsidP="00966A37">
      <w:pPr>
        <w:pStyle w:val="Paragraphedeliste"/>
        <w:numPr>
          <w:ilvl w:val="0"/>
          <w:numId w:val="11"/>
        </w:numPr>
        <w:spacing w:after="0"/>
        <w:jc w:val="both"/>
      </w:pPr>
      <w:r>
        <w:t>Cancer de la vessie et  des testicules</w:t>
      </w:r>
    </w:p>
    <w:p w:rsidR="00FE1724" w:rsidRDefault="00FE1724" w:rsidP="00966A37">
      <w:pPr>
        <w:pStyle w:val="Paragraphedeliste"/>
        <w:numPr>
          <w:ilvl w:val="0"/>
          <w:numId w:val="11"/>
        </w:numPr>
        <w:spacing w:after="0"/>
        <w:jc w:val="both"/>
      </w:pPr>
      <w:r>
        <w:t>Cancer bronchique</w:t>
      </w:r>
    </w:p>
    <w:p w:rsidR="00FE1724" w:rsidRDefault="00FE1724" w:rsidP="00966A37">
      <w:pPr>
        <w:pStyle w:val="Paragraphedeliste"/>
        <w:numPr>
          <w:ilvl w:val="0"/>
          <w:numId w:val="11"/>
        </w:numPr>
        <w:spacing w:after="0"/>
        <w:jc w:val="both"/>
      </w:pPr>
      <w:r>
        <w:t>Cancer du sein</w:t>
      </w:r>
    </w:p>
    <w:p w:rsidR="00FE1724" w:rsidRDefault="00FE1724" w:rsidP="00966A37">
      <w:pPr>
        <w:pStyle w:val="Paragraphedeliste"/>
        <w:numPr>
          <w:ilvl w:val="0"/>
          <w:numId w:val="11"/>
        </w:numPr>
        <w:spacing w:after="0"/>
        <w:jc w:val="both"/>
      </w:pPr>
      <w:r>
        <w:t>Lymphome malin hodgkinien et non hodgkinien</w:t>
      </w:r>
    </w:p>
    <w:p w:rsidR="00FE1724" w:rsidRDefault="00FE1724" w:rsidP="00966A37">
      <w:pPr>
        <w:pStyle w:val="Paragraphedeliste"/>
        <w:numPr>
          <w:ilvl w:val="0"/>
          <w:numId w:val="11"/>
        </w:numPr>
        <w:spacing w:after="0"/>
        <w:jc w:val="both"/>
      </w:pPr>
      <w:r>
        <w:t>Leucémie aigue</w:t>
      </w:r>
    </w:p>
    <w:p w:rsidR="00966A37" w:rsidRDefault="00FE1724" w:rsidP="00966A37">
      <w:pPr>
        <w:jc w:val="both"/>
      </w:pPr>
      <w:r>
        <w:t xml:space="preserve">             </w:t>
      </w:r>
      <w:r w:rsidR="00966A37">
        <w:t xml:space="preserve"> </w:t>
      </w:r>
    </w:p>
    <w:p w:rsidR="00337A72" w:rsidRDefault="00FE1724" w:rsidP="00337A72">
      <w:pPr>
        <w:jc w:val="both"/>
      </w:pPr>
      <w:r>
        <w:t>Les effets secondaires sont :</w:t>
      </w:r>
      <w:r w:rsidR="004A4CB8">
        <w:t xml:space="preserve"> leucopénie, thrombopénie, alopécie</w:t>
      </w:r>
      <w:r w:rsidR="00966A37">
        <w:t xml:space="preserve"> fréquente</w:t>
      </w:r>
      <w:r w:rsidR="004A4CB8">
        <w:t>, fièvre, phlébite</w:t>
      </w:r>
      <w:r w:rsidR="00966A37">
        <w:t>, dermatite</w:t>
      </w:r>
      <w:r w:rsidR="004A4CB8">
        <w:t>.</w:t>
      </w:r>
    </w:p>
    <w:p w:rsidR="00FE1724" w:rsidRPr="002E134C" w:rsidRDefault="004A4CB8" w:rsidP="00060354">
      <w:pPr>
        <w:jc w:val="both"/>
      </w:pPr>
      <w:r>
        <w:t xml:space="preserve">Les spécialités à base de podophyllotoxine et de ses dérivés </w:t>
      </w:r>
      <w:r w:rsidR="00060354">
        <w:t>hémi synthétiques (</w:t>
      </w:r>
      <w:r w:rsidR="00060354" w:rsidRPr="00060354">
        <w:rPr>
          <w:rStyle w:val="uppercase"/>
          <w:b/>
          <w:bCs/>
        </w:rPr>
        <w:t>VÉPÉSIDE</w:t>
      </w:r>
      <w:r w:rsidR="00060354">
        <w:rPr>
          <w:rStyle w:val="uppercase"/>
        </w:rPr>
        <w:t>*</w:t>
      </w:r>
      <w:r w:rsidR="00060354">
        <w:t xml:space="preserve"> </w:t>
      </w:r>
      <w:bookmarkStart w:id="0" w:name="924887"/>
      <w:bookmarkEnd w:id="0"/>
      <w:r w:rsidR="00060354" w:rsidRPr="00060354">
        <w:rPr>
          <w:rStyle w:val="uppercase"/>
          <w:b/>
          <w:bCs/>
        </w:rPr>
        <w:t>CELLTOP</w:t>
      </w:r>
      <w:r w:rsidR="00060354">
        <w:rPr>
          <w:rStyle w:val="uppercase"/>
        </w:rPr>
        <w:t>*</w:t>
      </w:r>
      <w:bookmarkStart w:id="1" w:name="924895"/>
      <w:bookmarkEnd w:id="1"/>
      <w:r w:rsidR="00060354">
        <w:rPr>
          <w:rStyle w:val="uppercase"/>
        </w:rPr>
        <w:t xml:space="preserve">, </w:t>
      </w:r>
      <w:r w:rsidR="00060354" w:rsidRPr="00060354">
        <w:rPr>
          <w:rStyle w:val="uppercase"/>
          <w:b/>
          <w:bCs/>
        </w:rPr>
        <w:t>É</w:t>
      </w:r>
      <w:r w:rsidR="00060354" w:rsidRPr="00060354">
        <w:rPr>
          <w:b/>
          <w:bCs/>
        </w:rPr>
        <w:t>TOPHOS</w:t>
      </w:r>
      <w:r w:rsidR="00060354">
        <w:t xml:space="preserve">*)  </w:t>
      </w:r>
      <w:r>
        <w:t xml:space="preserve">sont inscrites à la </w:t>
      </w:r>
      <w:r w:rsidRPr="004A4CB8">
        <w:rPr>
          <w:b/>
          <w:bCs/>
        </w:rPr>
        <w:t>liste I</w:t>
      </w:r>
      <w:r>
        <w:t>.</w:t>
      </w:r>
    </w:p>
    <w:sectPr w:rsidR="00FE1724" w:rsidRPr="002E134C" w:rsidSect="00A8775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F05" w:rsidRDefault="00903F05" w:rsidP="008D6862">
      <w:pPr>
        <w:spacing w:after="0" w:line="240" w:lineRule="auto"/>
      </w:pPr>
      <w:r>
        <w:separator/>
      </w:r>
    </w:p>
  </w:endnote>
  <w:endnote w:type="continuationSeparator" w:id="1">
    <w:p w:rsidR="00903F05" w:rsidRDefault="00903F05" w:rsidP="008D6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862" w:rsidRDefault="008D686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862" w:rsidRDefault="008D6862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862" w:rsidRDefault="008D686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F05" w:rsidRDefault="00903F05" w:rsidP="008D6862">
      <w:pPr>
        <w:spacing w:after="0" w:line="240" w:lineRule="auto"/>
      </w:pPr>
      <w:r>
        <w:separator/>
      </w:r>
    </w:p>
  </w:footnote>
  <w:footnote w:type="continuationSeparator" w:id="1">
    <w:p w:rsidR="00903F05" w:rsidRDefault="00903F05" w:rsidP="008D6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862" w:rsidRDefault="008D6862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Monotype Corsiva" w:hAnsi="Monotype Corsiva"/>
      </w:rPr>
      <w:alias w:val="Titre"/>
      <w:id w:val="77547040"/>
      <w:placeholder>
        <w:docPart w:val="9AAFCEBD59124EA09EB91C38359F05B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8D6862" w:rsidRPr="008D6862" w:rsidRDefault="008D6862" w:rsidP="008D6862">
        <w:pPr>
          <w:pStyle w:val="En-tte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Monotype Corsiva" w:hAnsi="Monotype Corsiva"/>
          </w:rPr>
        </w:pPr>
        <w:r w:rsidRPr="008D6862">
          <w:rPr>
            <w:rFonts w:ascii="Monotype Corsiva" w:hAnsi="Monotype Corsiva"/>
          </w:rPr>
          <w:t xml:space="preserve">Laboratoire de pharmacognosie      </w:t>
        </w:r>
        <w:r>
          <w:rPr>
            <w:rFonts w:ascii="Monotype Corsiva" w:hAnsi="Monotype Corsiva"/>
          </w:rPr>
          <w:t xml:space="preserve">              </w:t>
        </w:r>
        <w:r w:rsidRPr="008D6862">
          <w:rPr>
            <w:rFonts w:ascii="Monotype Corsiva" w:hAnsi="Monotype Corsiva"/>
          </w:rPr>
          <w:t xml:space="preserve">                                                                                             Dr Sahraoui W</w:t>
        </w:r>
      </w:p>
    </w:sdtContent>
  </w:sdt>
  <w:p w:rsidR="008D6862" w:rsidRDefault="008D6862" w:rsidP="008D6862">
    <w:pPr>
      <w:pStyle w:val="En-tte"/>
      <w:pBdr>
        <w:between w:val="single" w:sz="4" w:space="1" w:color="4F81BD" w:themeColor="accent1"/>
      </w:pBdr>
      <w:spacing w:line="276" w:lineRule="auto"/>
    </w:pPr>
  </w:p>
  <w:p w:rsidR="008D6862" w:rsidRDefault="008D6862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862" w:rsidRDefault="008D6862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10FF5"/>
    <w:multiLevelType w:val="hybridMultilevel"/>
    <w:tmpl w:val="9B6C05EC"/>
    <w:lvl w:ilvl="0" w:tplc="040C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B815E38"/>
    <w:multiLevelType w:val="hybridMultilevel"/>
    <w:tmpl w:val="CA1E9D04"/>
    <w:lvl w:ilvl="0" w:tplc="517C8838">
      <w:start w:val="1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241B42" w:tentative="1">
      <w:start w:val="1"/>
      <w:numFmt w:val="bullet"/>
      <w:lvlText w:val="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9CE4DA" w:tentative="1">
      <w:start w:val="1"/>
      <w:numFmt w:val="bullet"/>
      <w:lvlText w:val="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5CDF8E" w:tentative="1">
      <w:start w:val="1"/>
      <w:numFmt w:val="bullet"/>
      <w:lvlText w:val="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982CAC" w:tentative="1">
      <w:start w:val="1"/>
      <w:numFmt w:val="bullet"/>
      <w:lvlText w:val="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2A8358" w:tentative="1">
      <w:start w:val="1"/>
      <w:numFmt w:val="bullet"/>
      <w:lvlText w:val="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16865A" w:tentative="1">
      <w:start w:val="1"/>
      <w:numFmt w:val="bullet"/>
      <w:lvlText w:val="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EC1CAA" w:tentative="1">
      <w:start w:val="1"/>
      <w:numFmt w:val="bullet"/>
      <w:lvlText w:val="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2010B6" w:tentative="1">
      <w:start w:val="1"/>
      <w:numFmt w:val="bullet"/>
      <w:lvlText w:val="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007E8D"/>
    <w:multiLevelType w:val="hybridMultilevel"/>
    <w:tmpl w:val="6D280E88"/>
    <w:lvl w:ilvl="0" w:tplc="C682E8C4">
      <w:start w:val="1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962CBC" w:tentative="1">
      <w:start w:val="1"/>
      <w:numFmt w:val="bullet"/>
      <w:lvlText w:val="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1AFD4C" w:tentative="1">
      <w:start w:val="1"/>
      <w:numFmt w:val="bullet"/>
      <w:lvlText w:val="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A02BB6" w:tentative="1">
      <w:start w:val="1"/>
      <w:numFmt w:val="bullet"/>
      <w:lvlText w:val="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0AD3EA" w:tentative="1">
      <w:start w:val="1"/>
      <w:numFmt w:val="bullet"/>
      <w:lvlText w:val="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00FC2E" w:tentative="1">
      <w:start w:val="1"/>
      <w:numFmt w:val="bullet"/>
      <w:lvlText w:val="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B2D266" w:tentative="1">
      <w:start w:val="1"/>
      <w:numFmt w:val="bullet"/>
      <w:lvlText w:val="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54DAF4" w:tentative="1">
      <w:start w:val="1"/>
      <w:numFmt w:val="bullet"/>
      <w:lvlText w:val="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960AE6" w:tentative="1">
      <w:start w:val="1"/>
      <w:numFmt w:val="bullet"/>
      <w:lvlText w:val="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886A2B"/>
    <w:multiLevelType w:val="hybridMultilevel"/>
    <w:tmpl w:val="6FCEC374"/>
    <w:lvl w:ilvl="0" w:tplc="040C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39327E78"/>
    <w:multiLevelType w:val="hybridMultilevel"/>
    <w:tmpl w:val="3B2454B6"/>
    <w:lvl w:ilvl="0" w:tplc="040C000D">
      <w:start w:val="1"/>
      <w:numFmt w:val="bullet"/>
      <w:lvlText w:val=""/>
      <w:lvlJc w:val="left"/>
      <w:pPr>
        <w:ind w:left="75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>
    <w:nsid w:val="3DBC1BCA"/>
    <w:multiLevelType w:val="hybridMultilevel"/>
    <w:tmpl w:val="5E7669B4"/>
    <w:lvl w:ilvl="0" w:tplc="BF44167E">
      <w:start w:val="1"/>
      <w:numFmt w:val="upperLetter"/>
      <w:lvlText w:val="%1)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A45234"/>
    <w:multiLevelType w:val="hybridMultilevel"/>
    <w:tmpl w:val="D2AA8266"/>
    <w:lvl w:ilvl="0" w:tplc="F330065C">
      <w:start w:val="1"/>
      <w:numFmt w:val="upperLetter"/>
      <w:lvlText w:val="%1)"/>
      <w:lvlJc w:val="left"/>
      <w:pPr>
        <w:ind w:left="720" w:hanging="360"/>
      </w:pPr>
      <w:rPr>
        <w:color w:val="auto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D95116"/>
    <w:multiLevelType w:val="hybridMultilevel"/>
    <w:tmpl w:val="F58A4648"/>
    <w:lvl w:ilvl="0" w:tplc="5AD8A4F8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9159BC"/>
    <w:multiLevelType w:val="hybridMultilevel"/>
    <w:tmpl w:val="709C740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887E4A"/>
    <w:multiLevelType w:val="hybridMultilevel"/>
    <w:tmpl w:val="5AAA9FF2"/>
    <w:lvl w:ilvl="0" w:tplc="5AD8A4F8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227295"/>
    <w:multiLevelType w:val="hybridMultilevel"/>
    <w:tmpl w:val="19320E64"/>
    <w:lvl w:ilvl="0" w:tplc="040C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>
    <w:nsid w:val="65E12E15"/>
    <w:multiLevelType w:val="hybridMultilevel"/>
    <w:tmpl w:val="2E74650A"/>
    <w:lvl w:ilvl="0" w:tplc="040C0005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2">
    <w:nsid w:val="6AB85E25"/>
    <w:multiLevelType w:val="hybridMultilevel"/>
    <w:tmpl w:val="E21010C6"/>
    <w:lvl w:ilvl="0" w:tplc="5AD8A4F8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284BF4"/>
    <w:multiLevelType w:val="hybridMultilevel"/>
    <w:tmpl w:val="3664F302"/>
    <w:lvl w:ilvl="0" w:tplc="2222F4D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EA5AD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9A11C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A8562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C6BDD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FE1E7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5445F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CC53D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FA1D7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4"/>
  </w:num>
  <w:num w:numId="6">
    <w:abstractNumId w:val="9"/>
  </w:num>
  <w:num w:numId="7">
    <w:abstractNumId w:val="0"/>
  </w:num>
  <w:num w:numId="8">
    <w:abstractNumId w:val="10"/>
  </w:num>
  <w:num w:numId="9">
    <w:abstractNumId w:val="3"/>
  </w:num>
  <w:num w:numId="10">
    <w:abstractNumId w:val="8"/>
  </w:num>
  <w:num w:numId="11">
    <w:abstractNumId w:val="11"/>
  </w:num>
  <w:num w:numId="12">
    <w:abstractNumId w:val="1"/>
  </w:num>
  <w:num w:numId="13">
    <w:abstractNumId w:val="12"/>
  </w:num>
  <w:num w:numId="14">
    <w:abstractNumId w:val="2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D1052C"/>
    <w:rsid w:val="00011D6B"/>
    <w:rsid w:val="000271F0"/>
    <w:rsid w:val="00060354"/>
    <w:rsid w:val="000701E9"/>
    <w:rsid w:val="000B58D1"/>
    <w:rsid w:val="0013692E"/>
    <w:rsid w:val="001F297D"/>
    <w:rsid w:val="001F70E5"/>
    <w:rsid w:val="00213329"/>
    <w:rsid w:val="002406CF"/>
    <w:rsid w:val="00270785"/>
    <w:rsid w:val="00272557"/>
    <w:rsid w:val="002E134C"/>
    <w:rsid w:val="002F3BAE"/>
    <w:rsid w:val="003063E1"/>
    <w:rsid w:val="00331374"/>
    <w:rsid w:val="00337A72"/>
    <w:rsid w:val="00390D85"/>
    <w:rsid w:val="0042209A"/>
    <w:rsid w:val="00460344"/>
    <w:rsid w:val="0048644E"/>
    <w:rsid w:val="004A4CB8"/>
    <w:rsid w:val="004B04E5"/>
    <w:rsid w:val="004E6D13"/>
    <w:rsid w:val="00513F88"/>
    <w:rsid w:val="005375B4"/>
    <w:rsid w:val="005B413A"/>
    <w:rsid w:val="00652783"/>
    <w:rsid w:val="006D67CB"/>
    <w:rsid w:val="00705DE1"/>
    <w:rsid w:val="00756FFF"/>
    <w:rsid w:val="007B35D6"/>
    <w:rsid w:val="007D7938"/>
    <w:rsid w:val="007D7E78"/>
    <w:rsid w:val="008130DB"/>
    <w:rsid w:val="008174CD"/>
    <w:rsid w:val="0088416B"/>
    <w:rsid w:val="008D6862"/>
    <w:rsid w:val="00903F05"/>
    <w:rsid w:val="00921490"/>
    <w:rsid w:val="00966A37"/>
    <w:rsid w:val="009828F5"/>
    <w:rsid w:val="009B1F54"/>
    <w:rsid w:val="00A87758"/>
    <w:rsid w:val="00AB20E8"/>
    <w:rsid w:val="00AD3EBC"/>
    <w:rsid w:val="00AE60C9"/>
    <w:rsid w:val="00B858B0"/>
    <w:rsid w:val="00BF5025"/>
    <w:rsid w:val="00C16711"/>
    <w:rsid w:val="00CD461B"/>
    <w:rsid w:val="00CE6521"/>
    <w:rsid w:val="00D1052C"/>
    <w:rsid w:val="00DF394F"/>
    <w:rsid w:val="00E253DD"/>
    <w:rsid w:val="00E9399D"/>
    <w:rsid w:val="00F25D55"/>
    <w:rsid w:val="00F35248"/>
    <w:rsid w:val="00F37472"/>
    <w:rsid w:val="00F53511"/>
    <w:rsid w:val="00F813F7"/>
    <w:rsid w:val="00F9360E"/>
    <w:rsid w:val="00F965A8"/>
    <w:rsid w:val="00FE1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52C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1052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84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416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17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uppercase">
    <w:name w:val="uppercase"/>
    <w:basedOn w:val="Policepardfaut"/>
    <w:rsid w:val="00060354"/>
  </w:style>
  <w:style w:type="paragraph" w:styleId="En-tte">
    <w:name w:val="header"/>
    <w:basedOn w:val="Normal"/>
    <w:link w:val="En-tteCar"/>
    <w:uiPriority w:val="99"/>
    <w:unhideWhenUsed/>
    <w:rsid w:val="008D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6862"/>
  </w:style>
  <w:style w:type="paragraph" w:styleId="Pieddepage">
    <w:name w:val="footer"/>
    <w:basedOn w:val="Normal"/>
    <w:link w:val="PieddepageCar"/>
    <w:uiPriority w:val="99"/>
    <w:semiHidden/>
    <w:unhideWhenUsed/>
    <w:rsid w:val="008D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D68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0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image" Target="media/image9.png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17" Type="http://schemas.openxmlformats.org/officeDocument/2006/relationships/oleObject" Target="embeddings/oleObject2.bin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oleObject" Target="embeddings/oleObject3.bin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footer" Target="footer1.xml"/><Relationship Id="rId28" Type="http://schemas.openxmlformats.org/officeDocument/2006/relationships/glossaryDocument" Target="glossary/document.xml"/><Relationship Id="rId10" Type="http://schemas.openxmlformats.org/officeDocument/2006/relationships/package" Target="embeddings/Diapositive_Microsoft_Office_PowerPoint1.sldx"/><Relationship Id="rId19" Type="http://schemas.openxmlformats.org/officeDocument/2006/relationships/image" Target="media/image10.w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6.wmf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AAFCEBD59124EA09EB91C38359F05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A89A21-583C-4B8A-BBDD-0171C4124F3C}"/>
      </w:docPartPr>
      <w:docPartBody>
        <w:p w:rsidR="00CF5EF6" w:rsidRDefault="00A24A5F" w:rsidP="00A24A5F">
          <w:pPr>
            <w:pStyle w:val="9AAFCEBD59124EA09EB91C38359F05B8"/>
          </w:pPr>
          <w: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A24A5F"/>
    <w:rsid w:val="00A24A5F"/>
    <w:rsid w:val="00A75877"/>
    <w:rsid w:val="00C5468A"/>
    <w:rsid w:val="00CF5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EF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20CB3496508431FA3F1DF74D75F86FC">
    <w:name w:val="620CB3496508431FA3F1DF74D75F86FC"/>
    <w:rsid w:val="00A24A5F"/>
  </w:style>
  <w:style w:type="paragraph" w:customStyle="1" w:styleId="666BA2E818E940448B221C07631D638C">
    <w:name w:val="666BA2E818E940448B221C07631D638C"/>
    <w:rsid w:val="00A24A5F"/>
  </w:style>
  <w:style w:type="paragraph" w:customStyle="1" w:styleId="9AAFCEBD59124EA09EB91C38359F05B8">
    <w:name w:val="9AAFCEBD59124EA09EB91C38359F05B8"/>
    <w:rsid w:val="00A24A5F"/>
  </w:style>
  <w:style w:type="paragraph" w:customStyle="1" w:styleId="508CA019DDB541159961D419742D9F6B">
    <w:name w:val="508CA019DDB541159961D419742D9F6B"/>
    <w:rsid w:val="00A24A5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1777</TotalTime>
  <Pages>4</Pages>
  <Words>706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Laboratoire de pharmacognosie                                                                                                                 Dr Sahraoui W</vt:lpstr>
    </vt:vector>
  </TitlesOfParts>
  <Company>Unicornis</Company>
  <LinksUpToDate>false</LinksUpToDate>
  <CharactersWithSpaces>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Laboratoire de pharmacognosie                                                                                                                 Dr Sahraoui W</dc:title>
  <dc:subject/>
  <dc:creator>Unicornis</dc:creator>
  <cp:keywords/>
  <dc:description/>
  <cp:lastModifiedBy>Dell</cp:lastModifiedBy>
  <cp:revision>13</cp:revision>
  <cp:lastPrinted>2012-03-11T09:39:00Z</cp:lastPrinted>
  <dcterms:created xsi:type="dcterms:W3CDTF">2012-03-10T11:35:00Z</dcterms:created>
  <dcterms:modified xsi:type="dcterms:W3CDTF">2015-01-28T09:40:00Z</dcterms:modified>
</cp:coreProperties>
</file>