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C2" w:rsidRDefault="00A25CC2" w:rsidP="00A25CC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25CC2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LES ANTHOCYANOSIDES</w:t>
      </w:r>
    </w:p>
    <w:p w:rsidR="006F6312" w:rsidRPr="00A25CC2" w:rsidRDefault="006F6312" w:rsidP="00A25CC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Le sommaire</w:t>
      </w:r>
    </w:p>
    <w:p w:rsidR="00A25CC2" w:rsidRPr="00A25CC2" w:rsidRDefault="00EE3B99" w:rsidP="00A25CC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I.</w:t>
      </w:r>
      <w:r w:rsidR="00A25CC2" w:rsidRPr="00A25CC2">
        <w:rPr>
          <w:rFonts w:ascii="Comic Sans MS" w:hAnsi="Comic Sans MS"/>
        </w:rPr>
        <w:t>Définition</w:t>
      </w:r>
      <w:r w:rsidR="00760388">
        <w:rPr>
          <w:rFonts w:ascii="Comic Sans MS" w:hAnsi="Comic Sans MS"/>
        </w:rPr>
        <w:t>…………………………………………………………………………………………………………………………………………1</w:t>
      </w:r>
    </w:p>
    <w:p w:rsidR="00A25CC2" w:rsidRPr="00A25CC2" w:rsidRDefault="00A25CC2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II. Répartition et localisation dans la plante</w:t>
      </w:r>
      <w:r w:rsidR="00760388">
        <w:rPr>
          <w:rFonts w:ascii="Comic Sans MS" w:hAnsi="Comic Sans MS"/>
        </w:rPr>
        <w:t>……………………………………………………………………………1</w:t>
      </w:r>
    </w:p>
    <w:p w:rsidR="00A25CC2" w:rsidRPr="00A25CC2" w:rsidRDefault="00A25CC2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III. Structure chimique</w:t>
      </w:r>
      <w:r w:rsidR="00760388">
        <w:rPr>
          <w:rFonts w:ascii="Comic Sans MS" w:hAnsi="Comic Sans MS"/>
        </w:rPr>
        <w:t>……………………………………………………………</w:t>
      </w:r>
      <w:r w:rsidR="00EE3B99">
        <w:rPr>
          <w:rFonts w:ascii="Comic Sans MS" w:hAnsi="Comic Sans MS"/>
        </w:rPr>
        <w:t>……………………………………………………1</w:t>
      </w:r>
    </w:p>
    <w:p w:rsidR="00A25CC2" w:rsidRPr="00A25CC2" w:rsidRDefault="00A25CC2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IV. Propriétés physico-chimique</w:t>
      </w:r>
      <w:r w:rsidR="00EE3B99">
        <w:rPr>
          <w:rFonts w:ascii="Comic Sans MS" w:hAnsi="Comic Sans MS"/>
        </w:rPr>
        <w:t>…………………………………………………………………………………………………..2 </w:t>
      </w:r>
    </w:p>
    <w:p w:rsidR="00A25CC2" w:rsidRPr="00A25CC2" w:rsidRDefault="00A25CC2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 xml:space="preserve">V. </w:t>
      </w:r>
      <w:r w:rsidR="00EE3B99">
        <w:rPr>
          <w:rFonts w:ascii="Comic Sans MS" w:hAnsi="Comic Sans MS"/>
        </w:rPr>
        <w:t xml:space="preserve">Extraction, </w:t>
      </w:r>
      <w:r w:rsidRPr="00A25CC2">
        <w:rPr>
          <w:rFonts w:ascii="Comic Sans MS" w:hAnsi="Comic Sans MS"/>
        </w:rPr>
        <w:t>Caractérisation et dosage</w:t>
      </w:r>
      <w:r w:rsidR="00EE3B99">
        <w:rPr>
          <w:rFonts w:ascii="Comic Sans MS" w:hAnsi="Comic Sans MS"/>
        </w:rPr>
        <w:t>…………………………………………………………………………………..3</w:t>
      </w:r>
    </w:p>
    <w:p w:rsidR="00A25CC2" w:rsidRPr="00A25CC2" w:rsidRDefault="00A25CC2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VI. Propriétés pharmacologiques et emplois</w:t>
      </w:r>
      <w:r w:rsidR="00EE3B99">
        <w:rPr>
          <w:rFonts w:ascii="Comic Sans MS" w:hAnsi="Comic Sans MS"/>
        </w:rPr>
        <w:t>……………………………………………………………………………..3</w:t>
      </w:r>
    </w:p>
    <w:p w:rsidR="00A25CC2" w:rsidRDefault="00A25CC2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VII. Drogues à anthocyanosides</w:t>
      </w:r>
      <w:r>
        <w:rPr>
          <w:rFonts w:ascii="Comic Sans MS" w:hAnsi="Comic Sans MS"/>
        </w:rPr>
        <w:t xml:space="preserve"> </w:t>
      </w:r>
      <w:r w:rsidR="00EE3B99">
        <w:rPr>
          <w:rFonts w:ascii="Comic Sans MS" w:hAnsi="Comic Sans MS"/>
        </w:rPr>
        <w:t>…………………………………………………………………………………………………..4</w:t>
      </w:r>
    </w:p>
    <w:p w:rsidR="00EE3B99" w:rsidRPr="006F6312" w:rsidRDefault="005410CC" w:rsidP="006F6312">
      <w:pPr>
        <w:spacing w:after="0"/>
        <w:jc w:val="both"/>
        <w:rPr>
          <w:rFonts w:ascii="Comic Sans MS" w:hAnsi="Comic Sans MS"/>
        </w:rPr>
      </w:pPr>
      <w:r w:rsidRPr="005410CC">
        <w:rPr>
          <w:rFonts w:ascii="Comic Sans MS" w:hAnsi="Comic Sans MS"/>
        </w:rPr>
        <w:t>VII. Sources alimentaires d’anthocyanes</w:t>
      </w:r>
      <w:r w:rsidR="00EE3B99">
        <w:rPr>
          <w:rFonts w:ascii="Comic Sans MS" w:hAnsi="Comic Sans MS"/>
        </w:rPr>
        <w:t>……………………………………………………………………………………5</w:t>
      </w:r>
    </w:p>
    <w:p w:rsidR="00A25CC2" w:rsidRPr="0015556C" w:rsidRDefault="00305E88" w:rsidP="00A25CC2">
      <w:pPr>
        <w:jc w:val="both"/>
        <w:rPr>
          <w:rFonts w:ascii="Comic Sans MS" w:hAnsi="Comic Sans MS"/>
          <w:sz w:val="24"/>
          <w:szCs w:val="24"/>
        </w:rPr>
      </w:pPr>
      <w:r w:rsidRPr="00305E88">
        <w:rPr>
          <w:rFonts w:ascii="Comic Sans MS" w:hAnsi="Comic Sans MS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9.65pt;margin-top:8.9pt;width:467.2pt;height:.8pt;z-index:251658240" o:connectortype="straight" strokecolor="black [3200]" strokeweight="1pt">
            <v:stroke dashstyle="dash" endcap="round"/>
            <v:shadow color="#868686"/>
          </v:shape>
        </w:pict>
      </w:r>
    </w:p>
    <w:p w:rsidR="00DD28DC" w:rsidRPr="00A25CC2" w:rsidRDefault="00A25CC2" w:rsidP="00A25CC2">
      <w:pPr>
        <w:jc w:val="both"/>
        <w:rPr>
          <w:rFonts w:ascii="Comic Sans MS" w:hAnsi="Comic Sans MS"/>
        </w:rPr>
      </w:pPr>
      <w:r w:rsidRPr="0015556C">
        <w:rPr>
          <w:rFonts w:ascii="Comic Sans MS" w:hAnsi="Comic Sans MS"/>
          <w:b/>
          <w:bCs/>
          <w:sz w:val="24"/>
          <w:szCs w:val="24"/>
          <w:u w:val="single"/>
        </w:rPr>
        <w:t>I. Définition</w:t>
      </w:r>
      <w:r w:rsidRPr="0015556C">
        <w:rPr>
          <w:rFonts w:ascii="Comic Sans MS" w:hAnsi="Comic Sans MS"/>
          <w:sz w:val="24"/>
          <w:szCs w:val="24"/>
        </w:rPr>
        <w:t> </w:t>
      </w:r>
      <w:r w:rsidRPr="00A25CC2">
        <w:rPr>
          <w:rFonts w:ascii="Comic Sans MS" w:hAnsi="Comic Sans MS"/>
        </w:rPr>
        <w:t xml:space="preserve">: </w:t>
      </w:r>
      <w:r w:rsidR="00DD28DC" w:rsidRPr="00A25CC2">
        <w:rPr>
          <w:rFonts w:ascii="Comic Sans MS" w:hAnsi="Comic Sans MS"/>
        </w:rPr>
        <w:t>Les anthocyanes sont des pigments hydrosolubles, responsables de la coloration roug</w:t>
      </w:r>
      <w:r>
        <w:rPr>
          <w:rFonts w:ascii="Comic Sans MS" w:hAnsi="Comic Sans MS"/>
        </w:rPr>
        <w:t>e, violette ou bleue des fleurs</w:t>
      </w:r>
      <w:r w:rsidR="00DD28DC" w:rsidRPr="00A25CC2">
        <w:rPr>
          <w:rFonts w:ascii="Comic Sans MS" w:hAnsi="Comic Sans MS"/>
        </w:rPr>
        <w:t>, des fruits et parfois des feuilles.</w:t>
      </w:r>
    </w:p>
    <w:p w:rsidR="00A25CC2" w:rsidRDefault="00DD28DC" w:rsidP="00A25CC2">
      <w:p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Ils sont présents dans la nature uniquement sous forme d’hétérosides (</w:t>
      </w:r>
      <w:r w:rsidRPr="00A25CC2">
        <w:rPr>
          <w:rFonts w:ascii="Comic Sans MS" w:hAnsi="Comic Sans MS"/>
          <w:b/>
          <w:bCs/>
        </w:rPr>
        <w:t>anthocyanosides</w:t>
      </w:r>
      <w:r w:rsidRPr="00A25CC2">
        <w:rPr>
          <w:rFonts w:ascii="Comic Sans MS" w:hAnsi="Comic Sans MS"/>
        </w:rPr>
        <w:t>) et leurs génines (</w:t>
      </w:r>
      <w:r w:rsidRPr="00A25CC2">
        <w:rPr>
          <w:rFonts w:ascii="Comic Sans MS" w:hAnsi="Comic Sans MS"/>
          <w:b/>
          <w:bCs/>
        </w:rPr>
        <w:t>anthocyanidols</w:t>
      </w:r>
      <w:r w:rsidRPr="00A25CC2">
        <w:rPr>
          <w:rFonts w:ascii="Comic Sans MS" w:hAnsi="Comic Sans MS"/>
        </w:rPr>
        <w:t xml:space="preserve">) sont des dérivés du cation 2-phénylbenzopyrylium ou cation flavylium. </w:t>
      </w:r>
      <w:r w:rsidR="00A25CC2">
        <w:rPr>
          <w:rFonts w:ascii="Comic Sans MS" w:hAnsi="Comic Sans MS"/>
        </w:rPr>
        <w:t xml:space="preserve"> </w:t>
      </w:r>
      <w:r w:rsidRPr="00A25CC2">
        <w:rPr>
          <w:rFonts w:ascii="Comic Sans MS" w:hAnsi="Comic Sans MS"/>
        </w:rPr>
        <w:t xml:space="preserve">Ils sont doués de propriétés </w:t>
      </w:r>
      <w:r w:rsidRPr="00A25CC2">
        <w:rPr>
          <w:rFonts w:ascii="Comic Sans MS" w:hAnsi="Comic Sans MS"/>
          <w:b/>
          <w:bCs/>
        </w:rPr>
        <w:t xml:space="preserve">vitaminiques P </w:t>
      </w:r>
    </w:p>
    <w:p w:rsidR="00A25CC2" w:rsidRPr="0015556C" w:rsidRDefault="00A25CC2" w:rsidP="00A25CC2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5556C">
        <w:rPr>
          <w:rFonts w:ascii="Comic Sans MS" w:hAnsi="Comic Sans MS"/>
          <w:b/>
          <w:bCs/>
          <w:sz w:val="24"/>
          <w:szCs w:val="24"/>
          <w:u w:val="single"/>
        </w:rPr>
        <w:t>II. Répartition et localisation dans la plante :</w:t>
      </w:r>
    </w:p>
    <w:p w:rsidR="00DD28DC" w:rsidRPr="00A25CC2" w:rsidRDefault="00DD28DC" w:rsidP="00A25CC2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Rare chez les Gymnospermes, Très répondus dans plusieurs familles d’Angiospermes</w:t>
      </w:r>
    </w:p>
    <w:p w:rsidR="00DD28DC" w:rsidRPr="00A25CC2" w:rsidRDefault="00DD28DC" w:rsidP="00A25CC2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>Ils sont caractéristiques des pétales de fleurs (mauve, pavot, hibiscus…) et des fruits (cerise, aubergine, sureau…) mais on peut les rencontrer dans certaines feuilles (vigne rouge) racines (radis, oignon rouge)</w:t>
      </w:r>
    </w:p>
    <w:p w:rsidR="00DD28DC" w:rsidRPr="00A25CC2" w:rsidRDefault="00DD28DC" w:rsidP="00A25CC2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A25CC2">
        <w:rPr>
          <w:rFonts w:ascii="Comic Sans MS" w:hAnsi="Comic Sans MS"/>
        </w:rPr>
        <w:t xml:space="preserve">Ils se localisent dans les vacuoles  des cellules épidermiques </w:t>
      </w:r>
    </w:p>
    <w:p w:rsidR="002C49BC" w:rsidRPr="0015556C" w:rsidRDefault="00A25CC2" w:rsidP="00A25CC2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5556C">
        <w:rPr>
          <w:rFonts w:ascii="Comic Sans MS" w:hAnsi="Comic Sans MS"/>
          <w:b/>
          <w:bCs/>
          <w:sz w:val="24"/>
          <w:szCs w:val="24"/>
          <w:u w:val="single"/>
        </w:rPr>
        <w:t xml:space="preserve">III. </w:t>
      </w:r>
      <w:r w:rsidR="002C49BC" w:rsidRPr="0015556C">
        <w:rPr>
          <w:rFonts w:ascii="Comic Sans MS" w:hAnsi="Comic Sans MS"/>
          <w:b/>
          <w:bCs/>
          <w:sz w:val="24"/>
          <w:szCs w:val="24"/>
          <w:u w:val="single"/>
        </w:rPr>
        <w:t>Structure chimique :</w:t>
      </w:r>
    </w:p>
    <w:p w:rsidR="00DD28DC" w:rsidRPr="002C49BC" w:rsidRDefault="00DD28DC" w:rsidP="002C49BC">
      <w:pPr>
        <w:numPr>
          <w:ilvl w:val="0"/>
          <w:numId w:val="4"/>
        </w:numPr>
        <w:rPr>
          <w:rFonts w:ascii="Comic Sans MS" w:hAnsi="Comic Sans MS"/>
        </w:rPr>
      </w:pPr>
      <w:r w:rsidRPr="002C49BC">
        <w:rPr>
          <w:rFonts w:ascii="Comic Sans MS" w:hAnsi="Comic Sans MS"/>
        </w:rPr>
        <w:t xml:space="preserve">Les anthocyanidols sont des dérivés du cation 2-phénylbenzopyrylium ou cation </w:t>
      </w:r>
      <w:r w:rsidRPr="002C49BC">
        <w:rPr>
          <w:rFonts w:ascii="Comic Sans MS" w:hAnsi="Comic Sans MS"/>
          <w:b/>
          <w:bCs/>
        </w:rPr>
        <w:t>flavylium</w:t>
      </w:r>
      <w:r w:rsidRPr="002C49BC">
        <w:rPr>
          <w:rFonts w:ascii="Comic Sans MS" w:hAnsi="Comic Sans MS"/>
        </w:rPr>
        <w:t>.</w:t>
      </w:r>
    </w:p>
    <w:p w:rsidR="00DD28DC" w:rsidRPr="002C49BC" w:rsidRDefault="00DD28DC" w:rsidP="002C49BC">
      <w:pPr>
        <w:numPr>
          <w:ilvl w:val="0"/>
          <w:numId w:val="4"/>
        </w:numPr>
        <w:rPr>
          <w:rFonts w:ascii="Comic Sans MS" w:hAnsi="Comic Sans MS"/>
        </w:rPr>
      </w:pPr>
      <w:r w:rsidRPr="002C49BC">
        <w:rPr>
          <w:rFonts w:ascii="Comic Sans MS" w:hAnsi="Comic Sans MS"/>
        </w:rPr>
        <w:t>Présentent un OH en C3</w:t>
      </w:r>
    </w:p>
    <w:p w:rsidR="00EE3B99" w:rsidRPr="00EE3B99" w:rsidRDefault="00DD28DC" w:rsidP="00EE3B99">
      <w:pPr>
        <w:numPr>
          <w:ilvl w:val="0"/>
          <w:numId w:val="4"/>
        </w:numPr>
        <w:rPr>
          <w:rFonts w:ascii="Comic Sans MS" w:hAnsi="Comic Sans MS"/>
        </w:rPr>
      </w:pPr>
      <w:r w:rsidRPr="002C49BC">
        <w:rPr>
          <w:rFonts w:ascii="Comic Sans MS" w:hAnsi="Comic Sans MS"/>
        </w:rPr>
        <w:t>Ils sont le plus souvent hexasubstitués  (hydroxyles ou méthoxyles)</w:t>
      </w:r>
    </w:p>
    <w:p w:rsidR="0015556C" w:rsidRDefault="00305E88" w:rsidP="00EE3B9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222.15pt;margin-top:12.05pt;width:246.15pt;height:194.2pt;z-index:251661312" stroked="f">
            <v:textbox>
              <w:txbxContent>
                <w:tbl>
                  <w:tblPr>
                    <w:tblW w:w="496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0"/>
                    <w:gridCol w:w="1701"/>
                    <w:gridCol w:w="992"/>
                    <w:gridCol w:w="851"/>
                  </w:tblGrid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B83D6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Génine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B83D6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couleur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B83D6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R1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B83D6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 xml:space="preserve">R2 </w:t>
                        </w:r>
                      </w:p>
                    </w:tc>
                  </w:tr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Pélargonidol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Orange-rouge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H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H </w:t>
                        </w:r>
                      </w:p>
                    </w:tc>
                  </w:tr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Cyanidol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rouge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OH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H </w:t>
                        </w:r>
                      </w:p>
                    </w:tc>
                  </w:tr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Péonidol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rose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OCH3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H </w:t>
                        </w:r>
                      </w:p>
                    </w:tc>
                  </w:tr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Delphinidol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Bleue-violette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OH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OH </w:t>
                        </w:r>
                      </w:p>
                    </w:tc>
                  </w:tr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Pétunidol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violette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OCH3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OH </w:t>
                        </w:r>
                      </w:p>
                    </w:tc>
                  </w:tr>
                  <w:tr w:rsidR="00DD28DC" w:rsidRPr="0015556C" w:rsidTr="00DD28DC">
                    <w:trPr>
                      <w:trHeight w:val="369"/>
                    </w:trPr>
                    <w:tc>
                      <w:tcPr>
                        <w:tcW w:w="14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Malvidol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Mauve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OCH3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DD28DC" w:rsidRPr="0015556C" w:rsidRDefault="00DD28DC" w:rsidP="00DD28DC">
                        <w:pPr>
                          <w:spacing w:after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5556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OCH3 </w:t>
                        </w:r>
                      </w:p>
                    </w:tc>
                  </w:tr>
                </w:tbl>
                <w:p w:rsidR="00DD28DC" w:rsidRDefault="00DD28DC" w:rsidP="0015556C"/>
              </w:txbxContent>
            </v:textbox>
          </v:shape>
        </w:pict>
      </w:r>
    </w:p>
    <w:p w:rsidR="0015556C" w:rsidRDefault="00305E88" w:rsidP="0015556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2052" type="#_x0000_t202" style="position:absolute;margin-left:17.1pt;margin-top:.6pt;width:196.7pt;height:152.35pt;z-index:251660288" stroked="f">
            <v:textbox>
              <w:txbxContent>
                <w:p w:rsidR="00DD28DC" w:rsidRDefault="00DD28DC">
                  <w:r w:rsidRPr="0015556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66950" cy="1756587"/>
                        <wp:effectExtent l="19050" t="19050" r="19050" b="15063"/>
                        <wp:docPr id="3" name="Imag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4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1457" cy="176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556C" w:rsidRDefault="0015556C" w:rsidP="0015556C">
      <w:pPr>
        <w:rPr>
          <w:rFonts w:ascii="Comic Sans MS" w:hAnsi="Comic Sans MS"/>
        </w:rPr>
      </w:pPr>
    </w:p>
    <w:p w:rsidR="0015556C" w:rsidRPr="002C49BC" w:rsidRDefault="0015556C" w:rsidP="0015556C">
      <w:pPr>
        <w:rPr>
          <w:rFonts w:ascii="Comic Sans MS" w:hAnsi="Comic Sans MS"/>
        </w:rPr>
      </w:pPr>
    </w:p>
    <w:p w:rsidR="002C49BC" w:rsidRPr="002C49BC" w:rsidRDefault="002C49BC" w:rsidP="0015556C">
      <w:pPr>
        <w:spacing w:after="0"/>
        <w:ind w:left="720"/>
        <w:rPr>
          <w:rFonts w:ascii="Comic Sans MS" w:hAnsi="Comic Sans MS"/>
        </w:rPr>
      </w:pPr>
    </w:p>
    <w:p w:rsidR="002C49BC" w:rsidRDefault="002C49BC" w:rsidP="002C49BC">
      <w:pPr>
        <w:spacing w:after="0"/>
        <w:ind w:left="720"/>
        <w:jc w:val="center"/>
        <w:rPr>
          <w:rFonts w:ascii="Comic Sans MS" w:hAnsi="Comic Sans MS"/>
        </w:rPr>
      </w:pPr>
    </w:p>
    <w:p w:rsidR="0015556C" w:rsidRDefault="0015556C" w:rsidP="002C49BC">
      <w:pPr>
        <w:spacing w:after="0"/>
        <w:ind w:left="720"/>
        <w:jc w:val="center"/>
        <w:rPr>
          <w:rFonts w:ascii="Comic Sans MS" w:hAnsi="Comic Sans MS"/>
        </w:rPr>
      </w:pPr>
    </w:p>
    <w:p w:rsidR="0015556C" w:rsidRDefault="0015556C" w:rsidP="002C49BC">
      <w:pPr>
        <w:spacing w:after="0"/>
        <w:ind w:left="720"/>
        <w:jc w:val="center"/>
        <w:rPr>
          <w:rFonts w:ascii="Comic Sans MS" w:hAnsi="Comic Sans MS"/>
        </w:rPr>
      </w:pPr>
    </w:p>
    <w:p w:rsidR="0015556C" w:rsidRPr="002C49BC" w:rsidRDefault="0015556C" w:rsidP="002C49BC">
      <w:pPr>
        <w:spacing w:after="0"/>
        <w:ind w:left="720"/>
        <w:jc w:val="center"/>
        <w:rPr>
          <w:rFonts w:ascii="Comic Sans MS" w:hAnsi="Comic Sans MS"/>
        </w:rPr>
      </w:pPr>
    </w:p>
    <w:p w:rsidR="00EE3B99" w:rsidRDefault="00EE3B99" w:rsidP="00EE3B99">
      <w:pPr>
        <w:ind w:left="720"/>
        <w:jc w:val="both"/>
        <w:rPr>
          <w:rFonts w:ascii="Comic Sans MS" w:hAnsi="Comic Sans MS"/>
          <w:sz w:val="24"/>
          <w:szCs w:val="24"/>
        </w:rPr>
      </w:pPr>
    </w:p>
    <w:p w:rsidR="00DD28DC" w:rsidRPr="006E47A2" w:rsidRDefault="00DD28DC" w:rsidP="006E47A2">
      <w:pPr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6E47A2">
        <w:rPr>
          <w:rFonts w:ascii="Comic Sans MS" w:hAnsi="Comic Sans MS"/>
          <w:sz w:val="24"/>
          <w:szCs w:val="24"/>
        </w:rPr>
        <w:t>La liaison hétérosidique s’étable avec l’OH en C3 en impliquant le plus souvent le glucose: anthocyanoside ou anthocyanine (molécule stable et hydrosoluble)</w:t>
      </w:r>
    </w:p>
    <w:p w:rsidR="00DD28DC" w:rsidRPr="006E47A2" w:rsidRDefault="00DD28DC" w:rsidP="006E47A2">
      <w:pPr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6E47A2">
        <w:rPr>
          <w:rFonts w:ascii="Comic Sans MS" w:hAnsi="Comic Sans MS"/>
          <w:sz w:val="24"/>
          <w:szCs w:val="24"/>
        </w:rPr>
        <w:t xml:space="preserve">Mais il peut exister des biosides (3,5 ou 3,7) et des triosides (3,5,3’) impliquant le xylose, le rhamnose, le galactose et l’arabinose </w:t>
      </w:r>
    </w:p>
    <w:p w:rsidR="00DD28DC" w:rsidRPr="006E47A2" w:rsidRDefault="00DD28DC" w:rsidP="006E47A2">
      <w:pPr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6E47A2">
        <w:rPr>
          <w:rFonts w:ascii="Comic Sans MS" w:hAnsi="Comic Sans MS"/>
          <w:sz w:val="24"/>
          <w:szCs w:val="24"/>
        </w:rPr>
        <w:t xml:space="preserve">La partie osidique peut être mono ou bisaccharidique mais rarement trisaccharidique </w:t>
      </w:r>
    </w:p>
    <w:p w:rsidR="0015556C" w:rsidRDefault="0015556C" w:rsidP="002C49B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15556C">
        <w:rPr>
          <w:rFonts w:ascii="Comic Sans MS" w:hAnsi="Comic Sans MS"/>
          <w:b/>
          <w:bCs/>
          <w:sz w:val="24"/>
          <w:szCs w:val="24"/>
          <w:u w:val="single"/>
        </w:rPr>
        <w:t>IV. Propriétés physico-chimiques :</w:t>
      </w:r>
    </w:p>
    <w:p w:rsidR="00DD28DC" w:rsidRPr="00B466FB" w:rsidRDefault="00DD28DC" w:rsidP="00B466FB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B466FB">
        <w:rPr>
          <w:rFonts w:ascii="Comic Sans MS" w:hAnsi="Comic Sans MS"/>
        </w:rPr>
        <w:t xml:space="preserve">Le noyau falvylium est un diacide faible et un </w:t>
      </w:r>
      <w:r w:rsidR="00B466FB" w:rsidRPr="00B466FB">
        <w:rPr>
          <w:rFonts w:ascii="Comic Sans MS" w:hAnsi="Comic Sans MS"/>
        </w:rPr>
        <w:t>électrophile</w:t>
      </w:r>
      <w:r w:rsidRPr="00B466FB">
        <w:rPr>
          <w:rFonts w:ascii="Comic Sans MS" w:hAnsi="Comic Sans MS"/>
        </w:rPr>
        <w:t xml:space="preserve"> et selon le pH du milieu:</w:t>
      </w:r>
    </w:p>
    <w:p w:rsidR="00DD28DC" w:rsidRPr="00B466FB" w:rsidRDefault="00DD28DC" w:rsidP="00B466FB">
      <w:pPr>
        <w:numPr>
          <w:ilvl w:val="1"/>
          <w:numId w:val="8"/>
        </w:numPr>
        <w:jc w:val="both"/>
        <w:rPr>
          <w:rFonts w:ascii="Comic Sans MS" w:hAnsi="Comic Sans MS"/>
        </w:rPr>
      </w:pPr>
      <w:r w:rsidRPr="00B466FB">
        <w:rPr>
          <w:rFonts w:ascii="Comic Sans MS" w:hAnsi="Comic Sans MS"/>
        </w:rPr>
        <w:t xml:space="preserve"> en milieu acide fort (pH= 3): le cation est stable et coloré en rouge</w:t>
      </w:r>
    </w:p>
    <w:p w:rsidR="00DD28DC" w:rsidRPr="00B466FB" w:rsidRDefault="00DD28DC" w:rsidP="00B466FB">
      <w:pPr>
        <w:numPr>
          <w:ilvl w:val="1"/>
          <w:numId w:val="8"/>
        </w:numPr>
        <w:jc w:val="both"/>
        <w:rPr>
          <w:rFonts w:ascii="Comic Sans MS" w:hAnsi="Comic Sans MS"/>
        </w:rPr>
      </w:pPr>
      <w:r w:rsidRPr="00B466FB">
        <w:rPr>
          <w:rFonts w:ascii="Comic Sans MS" w:hAnsi="Comic Sans MS"/>
        </w:rPr>
        <w:t xml:space="preserve"> en milieu acide faible (pH entre 4 et 6) le cation est de couleur bleue</w:t>
      </w:r>
    </w:p>
    <w:p w:rsidR="00DD28DC" w:rsidRPr="00B466FB" w:rsidRDefault="00DD28DC" w:rsidP="00B466FB">
      <w:pPr>
        <w:numPr>
          <w:ilvl w:val="1"/>
          <w:numId w:val="8"/>
        </w:numPr>
        <w:jc w:val="both"/>
        <w:rPr>
          <w:rFonts w:ascii="Comic Sans MS" w:hAnsi="Comic Sans MS"/>
        </w:rPr>
      </w:pPr>
      <w:r w:rsidRPr="00B466FB">
        <w:rPr>
          <w:rFonts w:ascii="Comic Sans MS" w:hAnsi="Comic Sans MS"/>
        </w:rPr>
        <w:t xml:space="preserve">En milieu neutre (Ph&gt;7) : le cation est instable et devient incolore </w:t>
      </w:r>
    </w:p>
    <w:p w:rsidR="00DD28DC" w:rsidRPr="00B466FB" w:rsidRDefault="00DD28DC" w:rsidP="00B466FB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B466FB">
        <w:rPr>
          <w:rFonts w:ascii="Comic Sans MS" w:hAnsi="Comic Sans MS"/>
        </w:rPr>
        <w:t>Les anthocyanosi</w:t>
      </w:r>
      <w:r w:rsidR="00EE3B99">
        <w:rPr>
          <w:rFonts w:ascii="Comic Sans MS" w:hAnsi="Comic Sans MS"/>
        </w:rPr>
        <w:t>des sont solubles dans l’alcool</w:t>
      </w:r>
      <w:r w:rsidRPr="00B466FB">
        <w:rPr>
          <w:rFonts w:ascii="Comic Sans MS" w:hAnsi="Comic Sans MS"/>
        </w:rPr>
        <w:t xml:space="preserve"> et l’eau mais insolubles dans les solvants organiques apolaires </w:t>
      </w:r>
    </w:p>
    <w:p w:rsidR="00DD28DC" w:rsidRPr="00B466FB" w:rsidRDefault="00DD28DC" w:rsidP="00B466FB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B466FB">
        <w:rPr>
          <w:rFonts w:ascii="Comic Sans MS" w:hAnsi="Comic Sans MS"/>
        </w:rPr>
        <w:t xml:space="preserve">Les anthocyanosides sont sensibles à l’oxydation, à la T et à la lumière </w:t>
      </w:r>
    </w:p>
    <w:p w:rsidR="00A27EAC" w:rsidRDefault="00A27EAC" w:rsidP="00A27EAC">
      <w:pPr>
        <w:rPr>
          <w:rFonts w:ascii="Comic Sans MS" w:hAnsi="Comic Sans MS"/>
        </w:rPr>
      </w:pPr>
    </w:p>
    <w:p w:rsidR="00EE3B99" w:rsidRDefault="00EE3B99" w:rsidP="00A27EAC">
      <w:pPr>
        <w:rPr>
          <w:rFonts w:ascii="Comic Sans MS" w:hAnsi="Comic Sans MS"/>
        </w:rPr>
      </w:pPr>
    </w:p>
    <w:p w:rsidR="00A27EAC" w:rsidRDefault="00A27EAC" w:rsidP="00A27EAC">
      <w:pPr>
        <w:rPr>
          <w:rFonts w:ascii="Comic Sans MS" w:hAnsi="Comic Sans MS"/>
        </w:rPr>
      </w:pPr>
    </w:p>
    <w:p w:rsidR="00A25CC2" w:rsidRPr="00A27EAC" w:rsidRDefault="00A27EAC" w:rsidP="00A27EAC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A27EAC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V. Extraction, caractérisation et dosage :</w:t>
      </w:r>
    </w:p>
    <w:p w:rsidR="00A27EAC" w:rsidRDefault="00A27EAC" w:rsidP="00A27EAC">
      <w:pPr>
        <w:rPr>
          <w:rFonts w:ascii="Comic Sans MS" w:hAnsi="Comic Sans MS"/>
        </w:rPr>
      </w:pPr>
      <w:r w:rsidRPr="00A27EAC">
        <w:rPr>
          <w:rFonts w:ascii="Comic Sans MS" w:hAnsi="Comic Sans MS"/>
          <w:noProof/>
          <w:lang w:eastAsia="fr-FR"/>
        </w:rPr>
        <w:drawing>
          <wp:inline distT="0" distB="0" distL="0" distR="0">
            <wp:extent cx="5760720" cy="3756778"/>
            <wp:effectExtent l="0" t="0" r="0" b="0"/>
            <wp:docPr id="5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2296" cy="4286280"/>
                      <a:chOff x="1571604" y="2143116"/>
                      <a:chExt cx="6572296" cy="4286280"/>
                    </a:xfrm>
                  </a:grpSpPr>
                  <a:sp>
                    <a:nvSpPr>
                      <a:cNvPr id="4" name="Rectangle à coins arrondis 3"/>
                      <a:cNvSpPr/>
                    </a:nvSpPr>
                    <a:spPr>
                      <a:xfrm>
                        <a:off x="1928794" y="2143116"/>
                        <a:ext cx="2214578" cy="729584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2">
                                  <a:tint val="85000"/>
                                  <a:satMod val="155000"/>
                                </a:schemeClr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a:rPr>
                            <a:t>Drogue à </a:t>
                          </a:r>
                          <a:r>
                            <a:rPr lang="fr-FR" b="1" dirty="0" err="1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2">
                                  <a:tint val="85000"/>
                                  <a:satMod val="155000"/>
                                </a:schemeClr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a:rPr>
                            <a:t>anthocyanoside</a:t>
                          </a:r>
                          <a:endParaRPr lang="fr-FR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6" name="Connecteur droit avec flèche 5"/>
                      <a:cNvCxnSpPr>
                        <a:stCxn id="4" idx="2"/>
                      </a:cNvCxnSpPr>
                    </a:nvCxnSpPr>
                    <a:spPr>
                      <a:xfrm rot="16200000" flipH="1">
                        <a:off x="2632916" y="3275867"/>
                        <a:ext cx="842052" cy="3571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" name="ZoneTexte 6"/>
                      <a:cNvSpPr txBox="1"/>
                    </a:nvSpPr>
                    <a:spPr>
                      <a:xfrm>
                        <a:off x="3071802" y="3000372"/>
                        <a:ext cx="3071834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Alcools (éthanol)</a:t>
                          </a:r>
                        </a:p>
                        <a:p>
                          <a:r>
                            <a:rPr lang="fr-FR" sz="1400" dirty="0" err="1" smtClean="0"/>
                            <a:t>HCl</a:t>
                          </a:r>
                          <a:r>
                            <a:rPr lang="fr-FR" sz="1400" dirty="0" smtClean="0"/>
                            <a:t> (0.1 à 1%)</a:t>
                          </a:r>
                          <a:endParaRPr lang="fr-FR" sz="1400" dirty="0"/>
                        </a:p>
                      </a:txBody>
                      <a:useSpRect/>
                    </a:txSp>
                  </a:sp>
                  <a:sp>
                    <a:nvSpPr>
                      <a:cNvPr id="8" name="Rectangle à coins arrondis 7"/>
                      <a:cNvSpPr/>
                    </a:nvSpPr>
                    <a:spPr>
                      <a:xfrm>
                        <a:off x="1928794" y="3857628"/>
                        <a:ext cx="3000396" cy="78581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2">
                                  <a:tint val="85000"/>
                                  <a:satMod val="155000"/>
                                </a:schemeClr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a:rPr>
                            <a:t>Solutions d’anthocyanosides instables</a:t>
                          </a:r>
                          <a:endParaRPr lang="fr-FR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1" name="Connecteur droit avec flèche 10"/>
                      <a:cNvCxnSpPr>
                        <a:stCxn id="12" idx="1"/>
                      </a:cNvCxnSpPr>
                    </a:nvCxnSpPr>
                    <a:spPr>
                      <a:xfrm rot="10800000" flipV="1">
                        <a:off x="5000628" y="4179098"/>
                        <a:ext cx="785818" cy="35719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Rectangle à coins arrondis 11"/>
                      <a:cNvSpPr/>
                    </a:nvSpPr>
                    <a:spPr>
                      <a:xfrm>
                        <a:off x="5786446" y="3571876"/>
                        <a:ext cx="2357454" cy="1214446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à conserver </a:t>
                          </a:r>
                        </a:p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Sous atmosphère inerte </a:t>
                          </a:r>
                        </a:p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Au froid</a:t>
                          </a:r>
                        </a:p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À l’abri des UV</a:t>
                          </a:r>
                          <a:endParaRPr lang="fr-FR" sz="1400" b="1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8" name="Connecteur droit avec flèche 17"/>
                      <a:cNvCxnSpPr/>
                    </a:nvCxnSpPr>
                    <a:spPr>
                      <a:xfrm rot="16200000" flipH="1">
                        <a:off x="2813433" y="5018496"/>
                        <a:ext cx="785818" cy="35719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ZoneTexte 18"/>
                      <a:cNvSpPr txBox="1"/>
                    </a:nvSpPr>
                    <a:spPr>
                      <a:xfrm>
                        <a:off x="3357554" y="4763168"/>
                        <a:ext cx="3071834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dirty="0" smtClean="0"/>
                            <a:t>CCM</a:t>
                          </a:r>
                        </a:p>
                        <a:p>
                          <a:r>
                            <a:rPr lang="fr-FR" sz="14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HPLC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" name="ZoneTexte 19"/>
                      <a:cNvSpPr txBox="1"/>
                    </a:nvSpPr>
                    <a:spPr>
                      <a:xfrm>
                        <a:off x="1714480" y="4857761"/>
                        <a:ext cx="142876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b="1" dirty="0" smtClean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rPr>
                            <a:t>PURIFICATION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" name="ZoneTexte 20"/>
                      <a:cNvSpPr txBox="1"/>
                    </a:nvSpPr>
                    <a:spPr>
                      <a:xfrm>
                        <a:off x="1571604" y="3071811"/>
                        <a:ext cx="1285884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400" b="1" dirty="0" smtClean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rPr>
                            <a:t>EXTRACTION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" name="Rectangle à coins arrondis 21"/>
                      <a:cNvSpPr/>
                    </a:nvSpPr>
                    <a:spPr>
                      <a:xfrm>
                        <a:off x="1785918" y="5500702"/>
                        <a:ext cx="3000396" cy="78581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2">
                                  <a:tint val="85000"/>
                                  <a:satMod val="155000"/>
                                </a:schemeClr>
                              </a:solidFill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a:rPr>
                            <a:t>Extrait purifié d’anthocyanosides</a:t>
                          </a:r>
                          <a:endParaRPr lang="fr-FR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23" name="Connecteur droit avec flèche 22"/>
                      <a:cNvCxnSpPr>
                        <a:stCxn id="24" idx="1"/>
                      </a:cNvCxnSpPr>
                    </a:nvCxnSpPr>
                    <a:spPr>
                      <a:xfrm rot="10800000" flipV="1">
                        <a:off x="4857753" y="5965049"/>
                        <a:ext cx="785818" cy="3571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" name="Rectangle à coins arrondis 23"/>
                      <a:cNvSpPr/>
                    </a:nvSpPr>
                    <a:spPr>
                      <a:xfrm>
                        <a:off x="5643571" y="5500702"/>
                        <a:ext cx="2357454" cy="928694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Caractérisation: </a:t>
                          </a:r>
                        </a:p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tx1"/>
                              </a:solidFill>
                            </a:rPr>
                            <a:t>Coloration dépend du pH</a:t>
                          </a:r>
                        </a:p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Dosage par: </a:t>
                          </a:r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tx1"/>
                              </a:solidFill>
                            </a:rPr>
                            <a:t>SPECTROPHOTMETRIE</a:t>
                          </a:r>
                        </a:p>
                        <a:p>
                          <a:pPr algn="ctr"/>
                          <a:r>
                            <a:rPr lang="fr-FR" sz="1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tx1"/>
                              </a:solidFill>
                            </a:rPr>
                            <a:t>HPLC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A27EAC" w:rsidRDefault="00A27EAC" w:rsidP="00A27EAC">
      <w:pPr>
        <w:tabs>
          <w:tab w:val="left" w:pos="187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A27EAC">
        <w:rPr>
          <w:rFonts w:ascii="Comic Sans MS" w:hAnsi="Comic Sans MS"/>
          <w:b/>
          <w:bCs/>
          <w:u w:val="single"/>
        </w:rPr>
        <w:t>Fig</w:t>
      </w:r>
      <w:r>
        <w:rPr>
          <w:rFonts w:ascii="Comic Sans MS" w:hAnsi="Comic Sans MS"/>
        </w:rPr>
        <w:t> : procédé d’extraction des anthocyanes</w:t>
      </w:r>
    </w:p>
    <w:p w:rsidR="00A27EAC" w:rsidRDefault="00A27EAC" w:rsidP="00A27EAC">
      <w:pPr>
        <w:rPr>
          <w:rFonts w:ascii="Comic Sans MS" w:hAnsi="Comic Sans MS"/>
          <w:sz w:val="24"/>
          <w:szCs w:val="24"/>
          <w:u w:val="single"/>
        </w:rPr>
      </w:pPr>
      <w:r w:rsidRPr="00A27EAC">
        <w:rPr>
          <w:rFonts w:ascii="Comic Sans MS" w:hAnsi="Comic Sans MS"/>
          <w:b/>
          <w:bCs/>
          <w:sz w:val="24"/>
          <w:szCs w:val="24"/>
          <w:u w:val="single"/>
        </w:rPr>
        <w:t>VI. Propriétés pharmacologiques et emplois:</w:t>
      </w:r>
    </w:p>
    <w:p w:rsidR="00DD28DC" w:rsidRPr="00A27EAC" w:rsidRDefault="00DD28DC" w:rsidP="00DD28DC">
      <w:pPr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>Ils sont</w:t>
      </w:r>
      <w:r w:rsidR="00A27EAC">
        <w:rPr>
          <w:rFonts w:ascii="Comic Sans MS" w:hAnsi="Comic Sans MS"/>
          <w:sz w:val="24"/>
          <w:szCs w:val="24"/>
        </w:rPr>
        <w:t xml:space="preserve"> doués de propriétés </w:t>
      </w:r>
      <w:r w:rsidRPr="00A27EAC">
        <w:rPr>
          <w:rFonts w:ascii="Comic Sans MS" w:hAnsi="Comic Sans MS"/>
          <w:sz w:val="24"/>
          <w:szCs w:val="24"/>
        </w:rPr>
        <w:t>Vitaminique P</w:t>
      </w:r>
      <w:r w:rsidR="00A27EAC">
        <w:rPr>
          <w:rFonts w:ascii="Comic Sans MS" w:hAnsi="Comic Sans MS"/>
          <w:sz w:val="24"/>
          <w:szCs w:val="24"/>
        </w:rPr>
        <w:t xml:space="preserve"> : augmentent la résistance des capillaires et diminuent leur pérméabilité </w:t>
      </w:r>
    </w:p>
    <w:p w:rsidR="00DD28DC" w:rsidRPr="00A27EAC" w:rsidRDefault="00DD28DC" w:rsidP="00DD28DC">
      <w:pPr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 xml:space="preserve">Propriétés anti-oedémateuses </w:t>
      </w:r>
    </w:p>
    <w:p w:rsidR="00DD28DC" w:rsidRDefault="00DD28DC" w:rsidP="00DD28DC">
      <w:pPr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>activité anti-oxydantes</w:t>
      </w:r>
    </w:p>
    <w:p w:rsidR="00A27EAC" w:rsidRPr="00A27EAC" w:rsidRDefault="00A27EAC" w:rsidP="00DD28DC">
      <w:pPr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augmentent la régénération du pourpre rétinien (favorise la vision nocturne)</w:t>
      </w:r>
    </w:p>
    <w:p w:rsidR="00DD28DC" w:rsidRPr="00A27EAC" w:rsidRDefault="00DD28DC" w:rsidP="00DD28DC">
      <w:pPr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 xml:space="preserve">Activité anti-bactérienne </w:t>
      </w:r>
      <w:r w:rsidR="0004022F">
        <w:rPr>
          <w:rFonts w:ascii="Comic Sans MS" w:hAnsi="Comic Sans MS"/>
          <w:sz w:val="24"/>
          <w:szCs w:val="24"/>
        </w:rPr>
        <w:t>et entivirales</w:t>
      </w:r>
    </w:p>
    <w:p w:rsidR="00DD28DC" w:rsidRPr="00A27EAC" w:rsidRDefault="00DD28DC" w:rsidP="00DD28DC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>Les drogues à anthocyanosides sont employées en nature, dans la préparation de forme galéniques ou l’isolement des anthocyanosides purs dans le :</w:t>
      </w:r>
    </w:p>
    <w:p w:rsidR="00DD28DC" w:rsidRPr="00A27EAC" w:rsidRDefault="00DD28DC" w:rsidP="00E7012D">
      <w:pPr>
        <w:numPr>
          <w:ilvl w:val="1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>Traitement symptomatique des troubles liés à l’insuffisance vein</w:t>
      </w:r>
      <w:r>
        <w:rPr>
          <w:rFonts w:ascii="Comic Sans MS" w:hAnsi="Comic Sans MS"/>
          <w:sz w:val="24"/>
          <w:szCs w:val="24"/>
        </w:rPr>
        <w:t>olymphatiques et à la fragilité capillaire</w:t>
      </w:r>
      <w:r w:rsidRPr="00A27EAC">
        <w:rPr>
          <w:rFonts w:ascii="Comic Sans MS" w:hAnsi="Comic Sans MS"/>
          <w:sz w:val="24"/>
          <w:szCs w:val="24"/>
        </w:rPr>
        <w:t xml:space="preserve"> (phlébologie, proctologie et gynécologie)</w:t>
      </w:r>
    </w:p>
    <w:p w:rsidR="00DD28DC" w:rsidRDefault="00DD28DC" w:rsidP="00E7012D">
      <w:pPr>
        <w:numPr>
          <w:ilvl w:val="1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A27EAC">
        <w:rPr>
          <w:rFonts w:ascii="Comic Sans MS" w:hAnsi="Comic Sans MS"/>
          <w:sz w:val="24"/>
          <w:szCs w:val="24"/>
        </w:rPr>
        <w:t>Traitement de troubles ophtalmologiques circulatoire au niveau rétinien, choroïdien et pour l’amélioration de la vision corpusculaire</w:t>
      </w:r>
    </w:p>
    <w:p w:rsidR="00E7012D" w:rsidRDefault="00E7012D" w:rsidP="00E7012D">
      <w:pPr>
        <w:ind w:left="1211"/>
        <w:jc w:val="both"/>
        <w:rPr>
          <w:rFonts w:ascii="Comic Sans MS" w:hAnsi="Comic Sans MS"/>
          <w:sz w:val="24"/>
          <w:szCs w:val="24"/>
        </w:rPr>
      </w:pPr>
    </w:p>
    <w:p w:rsidR="00305E88" w:rsidRPr="00E7012D" w:rsidRDefault="00C750AD" w:rsidP="00E7012D">
      <w:pPr>
        <w:numPr>
          <w:ilvl w:val="0"/>
          <w:numId w:val="15"/>
        </w:num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E7012D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Autres applications:</w:t>
      </w:r>
    </w:p>
    <w:p w:rsidR="00305E88" w:rsidRPr="00E7012D" w:rsidRDefault="00C750AD" w:rsidP="00E7012D">
      <w:pPr>
        <w:spacing w:after="0"/>
        <w:jc w:val="both"/>
        <w:rPr>
          <w:rFonts w:ascii="Comic Sans MS" w:hAnsi="Comic Sans MS"/>
        </w:rPr>
      </w:pPr>
      <w:r w:rsidRPr="00E7012D">
        <w:rPr>
          <w:rFonts w:ascii="Comic Sans MS" w:hAnsi="Comic Sans MS"/>
        </w:rPr>
        <w:t xml:space="preserve">Les anthocyanosides sont employés dans l’industrie alimentaire comme colorants naturels et atoxique (boissons, confitures, confiserie) </w:t>
      </w:r>
    </w:p>
    <w:p w:rsidR="00E7012D" w:rsidRPr="00E7012D" w:rsidRDefault="00E7012D" w:rsidP="00E7012D">
      <w:pPr>
        <w:spacing w:after="0"/>
        <w:jc w:val="both"/>
        <w:rPr>
          <w:rFonts w:ascii="Comic Sans MS" w:hAnsi="Comic Sans MS"/>
        </w:rPr>
      </w:pPr>
      <w:r w:rsidRPr="00E7012D">
        <w:rPr>
          <w:rFonts w:ascii="Comic Sans MS" w:hAnsi="Comic Sans MS"/>
        </w:rPr>
        <w:t>Les principales sources d’anthocyanes autant que colorant alimentaire sont:</w:t>
      </w:r>
    </w:p>
    <w:p w:rsidR="00305E88" w:rsidRPr="00E7012D" w:rsidRDefault="00C750AD" w:rsidP="00E7012D">
      <w:pPr>
        <w:numPr>
          <w:ilvl w:val="1"/>
          <w:numId w:val="16"/>
        </w:numPr>
        <w:spacing w:after="0"/>
        <w:jc w:val="both"/>
        <w:rPr>
          <w:rFonts w:ascii="Comic Sans MS" w:hAnsi="Comic Sans MS"/>
        </w:rPr>
      </w:pPr>
      <w:r w:rsidRPr="00E7012D">
        <w:rPr>
          <w:rFonts w:ascii="Comic Sans MS" w:hAnsi="Comic Sans MS"/>
        </w:rPr>
        <w:t>Le mout de raisin</w:t>
      </w:r>
    </w:p>
    <w:p w:rsidR="00305E88" w:rsidRPr="00E7012D" w:rsidRDefault="00C750AD" w:rsidP="00E7012D">
      <w:pPr>
        <w:numPr>
          <w:ilvl w:val="1"/>
          <w:numId w:val="16"/>
        </w:numPr>
        <w:spacing w:after="0"/>
        <w:jc w:val="both"/>
        <w:rPr>
          <w:rFonts w:ascii="Comic Sans MS" w:hAnsi="Comic Sans MS"/>
        </w:rPr>
      </w:pPr>
      <w:r w:rsidRPr="00E7012D">
        <w:rPr>
          <w:rFonts w:ascii="Comic Sans MS" w:hAnsi="Comic Sans MS"/>
        </w:rPr>
        <w:t>Jus de fruit du sureau</w:t>
      </w:r>
    </w:p>
    <w:p w:rsidR="00305E88" w:rsidRPr="00E7012D" w:rsidRDefault="00C750AD" w:rsidP="00E7012D">
      <w:pPr>
        <w:numPr>
          <w:ilvl w:val="1"/>
          <w:numId w:val="16"/>
        </w:numPr>
        <w:spacing w:after="0"/>
        <w:jc w:val="both"/>
        <w:rPr>
          <w:rFonts w:ascii="Comic Sans MS" w:hAnsi="Comic Sans MS"/>
        </w:rPr>
      </w:pPr>
      <w:r w:rsidRPr="00E7012D">
        <w:rPr>
          <w:rFonts w:ascii="Comic Sans MS" w:hAnsi="Comic Sans MS"/>
        </w:rPr>
        <w:t>Feuilles de chou rouge</w:t>
      </w:r>
    </w:p>
    <w:p w:rsidR="00EE3B99" w:rsidRDefault="00EE3B99" w:rsidP="00E7012D">
      <w:pPr>
        <w:spacing w:after="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174717" w:rsidRDefault="00174717" w:rsidP="00C34386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VI. Drogues à anthocyanosides :</w:t>
      </w:r>
    </w:p>
    <w:p w:rsidR="00174717" w:rsidRPr="00174717" w:rsidRDefault="00174717" w:rsidP="00174717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 w:rsidRPr="00174717">
        <w:rPr>
          <w:rFonts w:ascii="Comic Sans MS" w:hAnsi="Comic Sans MS"/>
          <w:b/>
          <w:bCs/>
          <w:u w:val="single"/>
        </w:rPr>
        <w:t>La vigne rouge :</w:t>
      </w:r>
      <w:r>
        <w:rPr>
          <w:rFonts w:ascii="Comic Sans MS" w:hAnsi="Comic Sans MS"/>
          <w:i/>
          <w:iCs/>
        </w:rPr>
        <w:t xml:space="preserve"> </w:t>
      </w:r>
      <w:r w:rsidRPr="00174717">
        <w:rPr>
          <w:rFonts w:ascii="Comic Sans MS" w:hAnsi="Comic Sans MS"/>
          <w:i/>
          <w:iCs/>
        </w:rPr>
        <w:t xml:space="preserve">Vitis vinifera </w:t>
      </w:r>
      <w:r w:rsidRPr="00174717">
        <w:rPr>
          <w:rFonts w:ascii="Comic Sans MS" w:hAnsi="Comic Sans MS"/>
        </w:rPr>
        <w:t xml:space="preserve">L var </w:t>
      </w:r>
      <w:r w:rsidRPr="00174717">
        <w:rPr>
          <w:rFonts w:ascii="Comic Sans MS" w:hAnsi="Comic Sans MS"/>
          <w:i/>
          <w:iCs/>
        </w:rPr>
        <w:t>tinctoria</w:t>
      </w:r>
      <w:r w:rsidRPr="00174717">
        <w:rPr>
          <w:rFonts w:ascii="Comic Sans MS" w:hAnsi="Comic Sans MS"/>
        </w:rPr>
        <w:t>. Vitacées</w:t>
      </w:r>
    </w:p>
    <w:p w:rsidR="00174717" w:rsidRPr="00174717" w:rsidRDefault="00174717" w:rsidP="00174717">
      <w:p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  <w:u w:val="single"/>
        </w:rPr>
        <w:t>La plante</w:t>
      </w:r>
      <w:r w:rsidRPr="00174717">
        <w:rPr>
          <w:rFonts w:ascii="Comic Sans MS" w:hAnsi="Comic Sans MS"/>
        </w:rPr>
        <w:t xml:space="preserve">: espèce de vigne à raisins noirs dont les feuilles rougissent plus ou moins en automnes </w:t>
      </w:r>
    </w:p>
    <w:p w:rsidR="00174717" w:rsidRPr="00174717" w:rsidRDefault="00174717" w:rsidP="00174717">
      <w:p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  <w:u w:val="single"/>
        </w:rPr>
        <w:t>La drogue</w:t>
      </w:r>
      <w:r w:rsidRPr="00174717">
        <w:rPr>
          <w:rFonts w:ascii="Comic Sans MS" w:hAnsi="Comic Sans MS"/>
        </w:rPr>
        <w:t>: les feuilles (Ph, fse 10 éd)</w:t>
      </w:r>
    </w:p>
    <w:p w:rsidR="00174717" w:rsidRPr="00174717" w:rsidRDefault="00174717" w:rsidP="00174717">
      <w:pPr>
        <w:spacing w:after="0"/>
        <w:jc w:val="both"/>
        <w:rPr>
          <w:rFonts w:ascii="Comic Sans MS" w:hAnsi="Comic Sans MS"/>
          <w:u w:val="single"/>
        </w:rPr>
      </w:pPr>
      <w:r w:rsidRPr="00174717">
        <w:rPr>
          <w:rFonts w:ascii="Comic Sans MS" w:hAnsi="Comic Sans MS"/>
          <w:u w:val="single"/>
        </w:rPr>
        <w:t>La Composition chimique:</w:t>
      </w:r>
      <w:r w:rsidRPr="00174717">
        <w:rPr>
          <w:rFonts w:ascii="Comic Sans MS" w:hAnsi="Comic Sans MS"/>
        </w:rPr>
        <w:t xml:space="preserve"> 4% de polyphénols totaux (flavonoïdes, tanins, acides phénoliques…) dont 0.2% d’anthocyanosides et les composés majoritaires sont: </w:t>
      </w:r>
      <w:r w:rsidRPr="00174717">
        <w:rPr>
          <w:rFonts w:ascii="Comic Sans MS" w:hAnsi="Comic Sans MS"/>
          <w:i/>
          <w:iCs/>
        </w:rPr>
        <w:t>O</w:t>
      </w:r>
      <w:r w:rsidRPr="00174717">
        <w:rPr>
          <w:rFonts w:ascii="Comic Sans MS" w:hAnsi="Comic Sans MS"/>
        </w:rPr>
        <w:t xml:space="preserve">-glucosides de cyanidol et de péonidol </w:t>
      </w:r>
    </w:p>
    <w:p w:rsidR="00174717" w:rsidRPr="00174717" w:rsidRDefault="00174717" w:rsidP="00174717">
      <w:pPr>
        <w:spacing w:after="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174717">
        <w:rPr>
          <w:rFonts w:ascii="Comic Sans MS" w:hAnsi="Comic Sans MS"/>
          <w:u w:val="single"/>
        </w:rPr>
        <w:t>Emplois</w:t>
      </w:r>
      <w:r w:rsidRPr="00174717"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</w:p>
    <w:p w:rsidR="00174717" w:rsidRPr="00174717" w:rsidRDefault="00174717" w:rsidP="00174717">
      <w:p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</w:rPr>
        <w:t xml:space="preserve">Employés sous différentes formes (tisane, extrait aqueux, extrait hydro-alcoolique, teintures), les feuilles de vigne </w:t>
      </w:r>
      <w:r>
        <w:rPr>
          <w:rFonts w:ascii="Comic Sans MS" w:hAnsi="Comic Sans MS"/>
        </w:rPr>
        <w:t xml:space="preserve">rouge </w:t>
      </w:r>
      <w:r w:rsidRPr="00174717">
        <w:rPr>
          <w:rFonts w:ascii="Comic Sans MS" w:hAnsi="Comic Sans MS"/>
        </w:rPr>
        <w:t>sont préconisés dans le traitement:</w:t>
      </w:r>
    </w:p>
    <w:p w:rsidR="007973DF" w:rsidRPr="00174717" w:rsidRDefault="007F5E0F" w:rsidP="00174717">
      <w:pPr>
        <w:numPr>
          <w:ilvl w:val="0"/>
          <w:numId w:val="12"/>
        </w:num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</w:rPr>
        <w:t>Insuffisance veineuse (jambes lourdes</w:t>
      </w:r>
      <w:r w:rsidR="00174717">
        <w:rPr>
          <w:rFonts w:ascii="Comic Sans MS" w:hAnsi="Comic Sans MS"/>
        </w:rPr>
        <w:t>)</w:t>
      </w:r>
      <w:r w:rsidRPr="00174717">
        <w:rPr>
          <w:rFonts w:ascii="Comic Sans MS" w:hAnsi="Comic Sans MS"/>
        </w:rPr>
        <w:t xml:space="preserve"> et troubles </w:t>
      </w:r>
      <w:r w:rsidR="00174717" w:rsidRPr="00174717">
        <w:rPr>
          <w:rFonts w:ascii="Comic Sans MS" w:hAnsi="Comic Sans MS"/>
        </w:rPr>
        <w:t>hémorroïdaires</w:t>
      </w:r>
    </w:p>
    <w:p w:rsidR="007973DF" w:rsidRDefault="007F5E0F" w:rsidP="00174717">
      <w:pPr>
        <w:numPr>
          <w:ilvl w:val="0"/>
          <w:numId w:val="12"/>
        </w:num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</w:rPr>
        <w:t>Fragilité capillaire cutanée (ecchymose et pétéchies)</w:t>
      </w:r>
    </w:p>
    <w:p w:rsidR="00174717" w:rsidRPr="00174717" w:rsidRDefault="00174717" w:rsidP="00174717">
      <w:pPr>
        <w:rPr>
          <w:rFonts w:ascii="Comic Sans MS" w:hAnsi="Comic Sans MS"/>
        </w:rPr>
      </w:pPr>
      <w:r w:rsidRPr="00174717">
        <w:rPr>
          <w:rFonts w:ascii="Comic Sans MS" w:hAnsi="Comic Sans MS"/>
        </w:rPr>
        <w:t xml:space="preserve">NB: les graines de la vigne servent à la préparation de l’huile de pépins de raisin utilisée en diététique </w:t>
      </w:r>
    </w:p>
    <w:p w:rsidR="00174717" w:rsidRPr="00174717" w:rsidRDefault="00174717" w:rsidP="00174717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 w:rsidRPr="00174717">
        <w:rPr>
          <w:rFonts w:ascii="Comic Sans MS" w:hAnsi="Comic Sans MS"/>
          <w:b/>
          <w:bCs/>
          <w:u w:val="single"/>
        </w:rPr>
        <w:t>Myrtille</w:t>
      </w:r>
      <w:r>
        <w:rPr>
          <w:rFonts w:ascii="Comic Sans MS" w:hAnsi="Comic Sans MS"/>
        </w:rPr>
        <w:t xml:space="preserve"> : </w:t>
      </w:r>
      <w:r w:rsidRPr="00174717">
        <w:rPr>
          <w:rFonts w:ascii="Comic Sans MS" w:hAnsi="Comic Sans MS"/>
          <w:i/>
          <w:iCs/>
        </w:rPr>
        <w:t xml:space="preserve">Vaccinium myrtillus </w:t>
      </w:r>
      <w:r w:rsidRPr="00174717">
        <w:rPr>
          <w:rFonts w:ascii="Comic Sans MS" w:hAnsi="Comic Sans MS"/>
        </w:rPr>
        <w:t>L. Ericacées</w:t>
      </w:r>
    </w:p>
    <w:p w:rsidR="00174717" w:rsidRDefault="00174717" w:rsidP="00174717">
      <w:p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  <w:u w:val="single"/>
        </w:rPr>
        <w:t>La plante:</w:t>
      </w:r>
      <w:r w:rsidRPr="00174717">
        <w:rPr>
          <w:rFonts w:ascii="Comic Sans MS" w:hAnsi="Comic Sans MS"/>
        </w:rPr>
        <w:t xml:space="preserve"> un sous-arbrisseau à feuilles coriaces, fleurs solitaires ou groupées par deux à l’aisselle des feuilles, le fruit est une baie. La production mondiale est dominée par les Etats-Unis et le Canada  </w:t>
      </w:r>
    </w:p>
    <w:p w:rsidR="00174717" w:rsidRPr="00174717" w:rsidRDefault="00174717" w:rsidP="00174717">
      <w:pPr>
        <w:spacing w:after="0"/>
        <w:rPr>
          <w:rFonts w:ascii="Comic Sans MS" w:hAnsi="Comic Sans MS"/>
        </w:rPr>
      </w:pPr>
      <w:r w:rsidRPr="00174717">
        <w:rPr>
          <w:rFonts w:ascii="Comic Sans MS" w:hAnsi="Comic Sans MS"/>
          <w:u w:val="single"/>
        </w:rPr>
        <w:t xml:space="preserve">La drogue: </w:t>
      </w:r>
      <w:r w:rsidRPr="00174717">
        <w:rPr>
          <w:rFonts w:ascii="Comic Sans MS" w:hAnsi="Comic Sans MS"/>
        </w:rPr>
        <w:t xml:space="preserve">le fruit (Ph, Eu 6 éd) </w:t>
      </w:r>
    </w:p>
    <w:p w:rsidR="00174717" w:rsidRPr="00174717" w:rsidRDefault="00174717" w:rsidP="00174717">
      <w:pPr>
        <w:spacing w:after="0"/>
        <w:jc w:val="both"/>
        <w:rPr>
          <w:rFonts w:ascii="Comic Sans MS" w:hAnsi="Comic Sans MS"/>
        </w:rPr>
      </w:pPr>
      <w:r w:rsidRPr="00174717">
        <w:rPr>
          <w:rFonts w:ascii="Comic Sans MS" w:hAnsi="Comic Sans MS"/>
          <w:u w:val="single"/>
        </w:rPr>
        <w:t xml:space="preserve">La composition chimique: </w:t>
      </w:r>
      <w:r w:rsidRPr="00174717">
        <w:rPr>
          <w:rFonts w:ascii="Comic Sans MS" w:hAnsi="Comic Sans MS"/>
        </w:rPr>
        <w:t xml:space="preserve">Les fruits riches en eau, sucres et en acide organique </w:t>
      </w:r>
      <w:r w:rsidR="00743517">
        <w:rPr>
          <w:rFonts w:ascii="Comic Sans MS" w:hAnsi="Comic Sans MS"/>
        </w:rPr>
        <w:t xml:space="preserve">ils </w:t>
      </w:r>
      <w:r w:rsidRPr="00174717">
        <w:rPr>
          <w:rFonts w:ascii="Comic Sans MS" w:hAnsi="Comic Sans MS"/>
        </w:rPr>
        <w:t>renferment des acides-phénols, des flavonoïdes, des tanins et environ 0.5% d’anthocyanosides: des O-glucosides, des O-galactosides et des O-arabinosides en C3 du cyanidol, du péonidol, du delphinidol, du malvidol et du pétunidol.</w:t>
      </w:r>
      <w:r w:rsidRPr="00174717">
        <w:rPr>
          <w:rFonts w:ascii="Comic Sans MS" w:hAnsi="Comic Sans MS"/>
          <w:u w:val="single"/>
        </w:rPr>
        <w:t xml:space="preserve"> </w:t>
      </w:r>
    </w:p>
    <w:p w:rsidR="00E7012D" w:rsidRDefault="00E7012D" w:rsidP="00743517">
      <w:pPr>
        <w:spacing w:after="0"/>
        <w:jc w:val="both"/>
        <w:rPr>
          <w:rFonts w:ascii="Comic Sans MS" w:hAnsi="Comic Sans MS"/>
          <w:u w:val="single"/>
        </w:rPr>
      </w:pPr>
    </w:p>
    <w:p w:rsidR="00E7012D" w:rsidRDefault="00E7012D" w:rsidP="00743517">
      <w:pPr>
        <w:spacing w:after="0"/>
        <w:jc w:val="both"/>
        <w:rPr>
          <w:rFonts w:ascii="Comic Sans MS" w:hAnsi="Comic Sans MS"/>
          <w:u w:val="single"/>
        </w:rPr>
      </w:pPr>
    </w:p>
    <w:p w:rsidR="00E7012D" w:rsidRDefault="00E7012D" w:rsidP="00743517">
      <w:pPr>
        <w:spacing w:after="0"/>
        <w:jc w:val="both"/>
        <w:rPr>
          <w:rFonts w:ascii="Comic Sans MS" w:hAnsi="Comic Sans MS"/>
          <w:u w:val="single"/>
        </w:rPr>
      </w:pPr>
    </w:p>
    <w:p w:rsidR="00E7012D" w:rsidRDefault="00E7012D" w:rsidP="00743517">
      <w:pPr>
        <w:spacing w:after="0"/>
        <w:jc w:val="both"/>
        <w:rPr>
          <w:rFonts w:ascii="Comic Sans MS" w:hAnsi="Comic Sans MS"/>
          <w:u w:val="single"/>
        </w:rPr>
      </w:pP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  <w:u w:val="single"/>
        </w:rPr>
        <w:lastRenderedPageBreak/>
        <w:t>Emplois</w:t>
      </w:r>
      <w:r w:rsidRPr="00743517">
        <w:rPr>
          <w:rFonts w:ascii="Comic Sans MS" w:hAnsi="Comic Sans MS"/>
        </w:rPr>
        <w:t>:</w:t>
      </w:r>
    </w:p>
    <w:p w:rsidR="00E7012D" w:rsidRPr="00743517" w:rsidRDefault="00743517" w:rsidP="00E7012D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Le fruit frais de myrtille sert à la préparation d’extrait sec purifié employés dans le traitement:</w:t>
      </w:r>
    </w:p>
    <w:p w:rsidR="007973DF" w:rsidRPr="00743517" w:rsidRDefault="007F5E0F" w:rsidP="00743517">
      <w:pPr>
        <w:numPr>
          <w:ilvl w:val="0"/>
          <w:numId w:val="13"/>
        </w:num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L’insuffisance veino-lymphatique</w:t>
      </w:r>
    </w:p>
    <w:p w:rsidR="007973DF" w:rsidRPr="00743517" w:rsidRDefault="007F5E0F" w:rsidP="00743517">
      <w:pPr>
        <w:numPr>
          <w:ilvl w:val="0"/>
          <w:numId w:val="13"/>
        </w:num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Fragilité capillaire cutanée</w:t>
      </w:r>
    </w:p>
    <w:p w:rsidR="007973DF" w:rsidRPr="00743517" w:rsidRDefault="007F5E0F" w:rsidP="00743517">
      <w:pPr>
        <w:numPr>
          <w:ilvl w:val="0"/>
          <w:numId w:val="13"/>
        </w:num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Troubles de la vision</w:t>
      </w:r>
    </w:p>
    <w:p w:rsidR="007973DF" w:rsidRDefault="007F5E0F" w:rsidP="00743517">
      <w:pPr>
        <w:numPr>
          <w:ilvl w:val="0"/>
          <w:numId w:val="13"/>
        </w:num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Diarrhée légère</w:t>
      </w:r>
    </w:p>
    <w:p w:rsidR="00743517" w:rsidRPr="00743517" w:rsidRDefault="00743517" w:rsidP="00743517">
      <w:pPr>
        <w:spacing w:after="0"/>
        <w:ind w:left="720"/>
        <w:jc w:val="both"/>
        <w:rPr>
          <w:rFonts w:ascii="Comic Sans MS" w:hAnsi="Comic Sans MS"/>
        </w:rPr>
      </w:pPr>
    </w:p>
    <w:p w:rsidR="00174717" w:rsidRPr="00743517" w:rsidRDefault="00743517" w:rsidP="00743517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Cassis : </w:t>
      </w:r>
      <w:r w:rsidRPr="00743517">
        <w:rPr>
          <w:rFonts w:ascii="Comic Sans MS" w:hAnsi="Comic Sans MS"/>
          <w:i/>
          <w:iCs/>
        </w:rPr>
        <w:t xml:space="preserve">Ribes nigrum </w:t>
      </w:r>
      <w:r w:rsidRPr="00743517">
        <w:rPr>
          <w:rFonts w:ascii="Comic Sans MS" w:hAnsi="Comic Sans MS"/>
        </w:rPr>
        <w:t xml:space="preserve">L. Grossulariacées </w:t>
      </w:r>
    </w:p>
    <w:p w:rsid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  <w:u w:val="single"/>
        </w:rPr>
        <w:t>La plante</w:t>
      </w:r>
      <w:r w:rsidRPr="00743517">
        <w:rPr>
          <w:rFonts w:ascii="Comic Sans MS" w:hAnsi="Comic Sans MS"/>
        </w:rPr>
        <w:t>: un arbrisseau à grappe de fleurs rougeâtres et pendantes, le fruit est une baie noire et odorante.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  <w:u w:val="single"/>
        </w:rPr>
        <w:t>La drogue</w:t>
      </w:r>
      <w:r w:rsidRPr="00743517">
        <w:rPr>
          <w:rFonts w:ascii="Comic Sans MS" w:hAnsi="Comic Sans MS"/>
        </w:rPr>
        <w:t>: les feuilles (Ph, fse 10 éd) et fruits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  <w:u w:val="single"/>
        </w:rPr>
        <w:t>La composition chimique</w:t>
      </w:r>
      <w:r w:rsidRPr="00743517">
        <w:rPr>
          <w:rFonts w:ascii="Comic Sans MS" w:hAnsi="Comic Sans MS"/>
        </w:rPr>
        <w:t>: Les fruits renferment des hétérosides de flavonols et d’anthocyanidols (hétérosides du cyanidol et delphinidol)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Les feuilles renferment de nombreux flavonoï</w:t>
      </w:r>
      <w:r>
        <w:rPr>
          <w:rFonts w:ascii="Comic Sans MS" w:hAnsi="Comic Sans MS"/>
        </w:rPr>
        <w:t>des et en faible proportion d’</w:t>
      </w:r>
      <w:r w:rsidRPr="00743517">
        <w:rPr>
          <w:rFonts w:ascii="Comic Sans MS" w:hAnsi="Comic Sans MS"/>
        </w:rPr>
        <w:t xml:space="preserve">HE 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  <w:u w:val="single"/>
        </w:rPr>
        <w:t>Emplois</w:t>
      </w:r>
      <w:r w:rsidRPr="00743517">
        <w:rPr>
          <w:rFonts w:ascii="Comic Sans MS" w:hAnsi="Comic Sans MS"/>
        </w:rPr>
        <w:t>: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fruit est employé</w:t>
      </w:r>
      <w:r w:rsidRPr="00743517">
        <w:rPr>
          <w:rFonts w:ascii="Comic Sans MS" w:hAnsi="Comic Sans MS"/>
        </w:rPr>
        <w:t xml:space="preserve"> pour la préparation d’extraits enrichis en anthocyanosides utilisé dans les troubles de la fragilité capillaire cutanée et l’insuffisance veineuse.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  <w:r w:rsidRPr="00743517">
        <w:rPr>
          <w:rFonts w:ascii="Comic Sans MS" w:hAnsi="Comic Sans MS"/>
        </w:rPr>
        <w:t>Les feuilles sont utili</w:t>
      </w:r>
      <w:r>
        <w:rPr>
          <w:rFonts w:ascii="Comic Sans MS" w:hAnsi="Comic Sans MS"/>
        </w:rPr>
        <w:t>sés comme anti-inflammatoires,</w:t>
      </w:r>
      <w:r w:rsidRPr="00743517">
        <w:rPr>
          <w:rFonts w:ascii="Comic Sans MS" w:hAnsi="Comic Sans MS"/>
        </w:rPr>
        <w:t xml:space="preserve"> antirhumatismales et diurétiques </w:t>
      </w:r>
    </w:p>
    <w:p w:rsidR="00743517" w:rsidRPr="00743517" w:rsidRDefault="00743517" w:rsidP="00743517">
      <w:pPr>
        <w:spacing w:after="0"/>
        <w:jc w:val="both"/>
        <w:rPr>
          <w:rFonts w:ascii="Comic Sans MS" w:hAnsi="Comic Sans MS"/>
        </w:rPr>
      </w:pPr>
    </w:p>
    <w:p w:rsidR="00C34386" w:rsidRDefault="00C34386" w:rsidP="00174717">
      <w:pPr>
        <w:spacing w:after="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C34386">
        <w:rPr>
          <w:rFonts w:ascii="Comic Sans MS" w:hAnsi="Comic Sans MS"/>
          <w:b/>
          <w:bCs/>
          <w:sz w:val="24"/>
          <w:szCs w:val="24"/>
          <w:u w:val="single"/>
        </w:rPr>
        <w:t>VII. Sources alimentaires d’anthocyanes :</w:t>
      </w:r>
    </w:p>
    <w:p w:rsidR="00EE3B99" w:rsidRDefault="00EE3B99" w:rsidP="00174717">
      <w:pPr>
        <w:spacing w:after="0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34386" w:rsidRPr="00C34386" w:rsidRDefault="00C34386" w:rsidP="00C34386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Tableau :principales sources alimentaires en anthocyanes</w:t>
      </w:r>
    </w:p>
    <w:p w:rsidR="00A27EAC" w:rsidRPr="00A27EAC" w:rsidRDefault="00305E88" w:rsidP="00DD28DC">
      <w:pPr>
        <w:jc w:val="both"/>
        <w:rPr>
          <w:rFonts w:ascii="Comic Sans MS" w:hAnsi="Comic Sans MS"/>
          <w:sz w:val="24"/>
          <w:szCs w:val="24"/>
        </w:rPr>
      </w:pPr>
      <w:r w:rsidRPr="00305E88">
        <w:rPr>
          <w:rFonts w:ascii="Comic Sans MS" w:hAnsi="Comic Sans MS"/>
          <w:noProof/>
          <w:sz w:val="24"/>
          <w:szCs w:val="24"/>
          <w:u w:val="single"/>
          <w:lang w:eastAsia="fr-FR"/>
        </w:rPr>
        <w:pict>
          <v:shape id="_x0000_s2054" type="#_x0000_t202" style="position:absolute;left:0;text-align:left;margin-left:-11.35pt;margin-top:11.5pt;width:471.25pt;height:278.1pt;z-index:251662336">
            <v:textbox style="mso-next-textbox:#_x0000_s2054">
              <w:txbxContent>
                <w:tbl>
                  <w:tblPr>
                    <w:tblW w:w="120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79"/>
                    <w:gridCol w:w="9021"/>
                  </w:tblGrid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B83D6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Anthocyanes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B83D6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Sources végétales </w:t>
                        </w:r>
                      </w:p>
                    </w:tc>
                  </w:tr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Pélargonidine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Fraise, banane, radis, pomme de terre </w:t>
                        </w:r>
                      </w:p>
                    </w:tc>
                  </w:tr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Cyanidine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C34386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>Pomme, mure, sureau, pêche, poire, figue, cerise, oignon,</w:t>
                        </w:r>
                      </w:p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 groseille, chou rouge, rhubarbe </w:t>
                        </w:r>
                      </w:p>
                    </w:tc>
                  </w:tr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Cyanidine et delphinidine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Cassis, orange sanguine, chou rouge, groseille, carotte pourpre </w:t>
                        </w:r>
                      </w:p>
                    </w:tc>
                  </w:tr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Delphinidine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Fruit de la passion, haricot vert, grenade,  aubergine </w:t>
                        </w:r>
                      </w:p>
                    </w:tc>
                  </w:tr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Cyanidine et péonidine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6CED4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Canneberge, prune, prunelle </w:t>
                        </w:r>
                      </w:p>
                    </w:tc>
                  </w:tr>
                  <w:tr w:rsidR="00C34386" w:rsidRPr="00C34386" w:rsidTr="00EE3B99">
                    <w:trPr>
                      <w:trHeight w:val="584"/>
                    </w:trPr>
                    <w:tc>
                      <w:tcPr>
                        <w:tcW w:w="2979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Pétunidine et malvidine </w:t>
                        </w:r>
                      </w:p>
                    </w:tc>
                    <w:tc>
                      <w:tcPr>
                        <w:tcW w:w="902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3E8EB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7973DF" w:rsidRPr="00C34386" w:rsidRDefault="00C34386" w:rsidP="00C3438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C34386">
                          <w:rPr>
                            <w:sz w:val="24"/>
                            <w:szCs w:val="24"/>
                          </w:rPr>
                          <w:t xml:space="preserve">Myrtille, raisin </w:t>
                        </w:r>
                      </w:p>
                    </w:tc>
                  </w:tr>
                </w:tbl>
                <w:p w:rsidR="00C34386" w:rsidRDefault="00C34386" w:rsidP="00C34386">
                  <w:pPr>
                    <w:spacing w:after="0"/>
                  </w:pPr>
                </w:p>
              </w:txbxContent>
            </v:textbox>
          </v:shape>
        </w:pict>
      </w:r>
    </w:p>
    <w:sectPr w:rsidR="00A27EAC" w:rsidRPr="00A27EAC" w:rsidSect="00F90A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88" w:rsidRDefault="00ED4B88" w:rsidP="00A25CC2">
      <w:pPr>
        <w:spacing w:after="0" w:line="240" w:lineRule="auto"/>
      </w:pPr>
      <w:r>
        <w:separator/>
      </w:r>
    </w:p>
  </w:endnote>
  <w:endnote w:type="continuationSeparator" w:id="1">
    <w:p w:rsidR="00ED4B88" w:rsidRDefault="00ED4B88" w:rsidP="00A2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99934"/>
      <w:docPartObj>
        <w:docPartGallery w:val="Page Numbers (Bottom of Page)"/>
        <w:docPartUnique/>
      </w:docPartObj>
    </w:sdtPr>
    <w:sdtContent>
      <w:p w:rsidR="00E824C4" w:rsidRDefault="00305E88">
        <w:pPr>
          <w:pStyle w:val="Pieddepage"/>
          <w:jc w:val="right"/>
        </w:pPr>
        <w:fldSimple w:instr=" PAGE   \* MERGEFORMAT ">
          <w:r w:rsidR="0004022F">
            <w:rPr>
              <w:noProof/>
            </w:rPr>
            <w:t>3</w:t>
          </w:r>
        </w:fldSimple>
      </w:p>
    </w:sdtContent>
  </w:sdt>
  <w:p w:rsidR="00E824C4" w:rsidRDefault="00E824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88" w:rsidRDefault="00ED4B88" w:rsidP="00A25CC2">
      <w:pPr>
        <w:spacing w:after="0" w:line="240" w:lineRule="auto"/>
      </w:pPr>
      <w:r>
        <w:separator/>
      </w:r>
    </w:p>
  </w:footnote>
  <w:footnote w:type="continuationSeparator" w:id="1">
    <w:p w:rsidR="00ED4B88" w:rsidRDefault="00ED4B88" w:rsidP="00A2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C" w:rsidRPr="00A25CC2" w:rsidRDefault="00305E88" w:rsidP="00A25CC2">
    <w:pPr>
      <w:pStyle w:val="En-tte"/>
      <w:jc w:val="center"/>
      <w:rPr>
        <w:rFonts w:ascii="Monotype Corsiva" w:hAnsi="Monotype Corsiva"/>
        <w:color w:val="365F91" w:themeColor="accent1" w:themeShade="BF"/>
      </w:rPr>
    </w:pPr>
    <w:r w:rsidRPr="00305E88">
      <w:rPr>
        <w:noProof/>
        <w:color w:val="365F91" w:themeColor="accent1" w:themeShade="BF"/>
        <w:lang w:eastAsia="zh-TW"/>
      </w:rPr>
      <w:pict>
        <v:group id="_x0000_s1025" style="position:absolute;left:0;text-align:left;margin-left:1236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rFonts w:ascii="Monotype Corsiva" w:hAnsi="Monotype Corsiva"/>
                        <w:b/>
                        <w:bCs/>
                        <w:color w:val="FFFFFF" w:themeColor="background1"/>
                      </w:rPr>
                      <w:alias w:val="Année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DD28DC" w:rsidRPr="00A25CC2" w:rsidRDefault="00DD28DC" w:rsidP="00A25CC2">
                        <w:pPr>
                          <w:pStyle w:val="En-tte"/>
                          <w:jc w:val="center"/>
                          <w:rPr>
                            <w:rFonts w:ascii="Monotype Corsiva" w:hAnsi="Monotype Corsiva"/>
                            <w:b/>
                            <w:bCs/>
                            <w:color w:val="FFFFFF" w:themeColor="background1"/>
                          </w:rPr>
                        </w:pPr>
                        <w:r w:rsidRPr="00A25CC2">
                          <w:rPr>
                            <w:rFonts w:ascii="Monotype Corsiva" w:hAnsi="Monotype Corsiva"/>
                            <w:b/>
                            <w:bCs/>
                            <w:color w:val="FFFFFF" w:themeColor="background1"/>
                          </w:rPr>
                          <w:t>Dr Sahraoui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Monotype Corsiva" w:hAnsi="Monotype Corsiva"/>
          <w:color w:val="365F91" w:themeColor="accent1" w:themeShade="BF"/>
        </w:rPr>
        <w:alias w:val="Titre"/>
        <w:id w:val="78131009"/>
        <w:placeholder>
          <w:docPart w:val="4D26C68CA8E04746AC8583F1FDD5D56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D28DC" w:rsidRPr="00A25CC2">
          <w:rPr>
            <w:rFonts w:ascii="Monotype Corsiva" w:hAnsi="Monotype Corsiva"/>
            <w:color w:val="365F91" w:themeColor="accent1" w:themeShade="BF"/>
          </w:rPr>
          <w:t>Laboratoire de pharmacognosie</w:t>
        </w:r>
      </w:sdtContent>
    </w:sdt>
  </w:p>
  <w:p w:rsidR="00DD28DC" w:rsidRPr="00A25CC2" w:rsidRDefault="00DD28DC" w:rsidP="00A25CC2">
    <w:pPr>
      <w:pStyle w:val="En-tte"/>
      <w:jc w:val="center"/>
      <w:rPr>
        <w:rFonts w:ascii="Monotype Corsiva" w:hAnsi="Monotype Corsiva"/>
      </w:rPr>
    </w:pPr>
    <w:r w:rsidRPr="00A25CC2">
      <w:rPr>
        <w:rFonts w:ascii="Monotype Corsiva" w:hAnsi="Monotype Corsiva"/>
      </w:rPr>
      <w:t>2014/2015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6ED"/>
    <w:multiLevelType w:val="hybridMultilevel"/>
    <w:tmpl w:val="4C024F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E0E"/>
    <w:multiLevelType w:val="hybridMultilevel"/>
    <w:tmpl w:val="8DFEC7C2"/>
    <w:lvl w:ilvl="0" w:tplc="0944E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7062"/>
    <w:multiLevelType w:val="hybridMultilevel"/>
    <w:tmpl w:val="80EA0A1A"/>
    <w:lvl w:ilvl="0" w:tplc="7C5433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9FD640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3AB9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EA4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EEF2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C2C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A52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00C3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6C6F7E"/>
    <w:multiLevelType w:val="hybridMultilevel"/>
    <w:tmpl w:val="0A90AB94"/>
    <w:lvl w:ilvl="0" w:tplc="B84824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0C8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AA9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2032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E0D5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6205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68CC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099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EA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9C11B9"/>
    <w:multiLevelType w:val="hybridMultilevel"/>
    <w:tmpl w:val="2D161628"/>
    <w:lvl w:ilvl="0" w:tplc="7C5433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217E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D640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3AB9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EA4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EEF2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C2C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A52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00C3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C17951"/>
    <w:multiLevelType w:val="hybridMultilevel"/>
    <w:tmpl w:val="DF8A7512"/>
    <w:lvl w:ilvl="0" w:tplc="C486D4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E64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24D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C59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CDB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A4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696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40A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4C4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A17BC"/>
    <w:multiLevelType w:val="hybridMultilevel"/>
    <w:tmpl w:val="5DA6160A"/>
    <w:lvl w:ilvl="0" w:tplc="04A8D9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C2D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FC69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EAA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BCF3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270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0A8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845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04D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B63990"/>
    <w:multiLevelType w:val="hybridMultilevel"/>
    <w:tmpl w:val="042E9CFA"/>
    <w:lvl w:ilvl="0" w:tplc="99BA18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69C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A658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1470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0E79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8012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3243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4CD9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9E81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FC7451"/>
    <w:multiLevelType w:val="hybridMultilevel"/>
    <w:tmpl w:val="35380506"/>
    <w:lvl w:ilvl="0" w:tplc="1D3CF9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CC82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2BB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78F6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887A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0CFF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FE50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ABD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E6FD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5CD51BC"/>
    <w:multiLevelType w:val="hybridMultilevel"/>
    <w:tmpl w:val="D426482A"/>
    <w:lvl w:ilvl="0" w:tplc="E87A46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2AFB12">
      <w:start w:val="18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687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4A1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BA62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2296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96D8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AD0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24EF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3B6CEE"/>
    <w:multiLevelType w:val="hybridMultilevel"/>
    <w:tmpl w:val="65665826"/>
    <w:lvl w:ilvl="0" w:tplc="17F2E6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36094E">
      <w:start w:val="1785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73C25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7A13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239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845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B4AC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C66B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68C3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F624FFF"/>
    <w:multiLevelType w:val="hybridMultilevel"/>
    <w:tmpl w:val="67C42F44"/>
    <w:lvl w:ilvl="0" w:tplc="933264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657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AC09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9EA2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EE64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ACA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0CA4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2C53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93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0746F6A"/>
    <w:multiLevelType w:val="hybridMultilevel"/>
    <w:tmpl w:val="F9746974"/>
    <w:lvl w:ilvl="0" w:tplc="1A0CA2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4B84E">
      <w:start w:val="125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831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B01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A8FC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29E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0821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3ABB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EE8E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0B35DB4"/>
    <w:multiLevelType w:val="hybridMultilevel"/>
    <w:tmpl w:val="379CBBA0"/>
    <w:lvl w:ilvl="0" w:tplc="8B1893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E9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6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12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3A4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416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21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CCA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3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3066A8"/>
    <w:multiLevelType w:val="hybridMultilevel"/>
    <w:tmpl w:val="0E8C675A"/>
    <w:lvl w:ilvl="0" w:tplc="3E6AC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CF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CA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8E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C0A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DC07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46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E2E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84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87221C"/>
    <w:multiLevelType w:val="hybridMultilevel"/>
    <w:tmpl w:val="7D1AE384"/>
    <w:lvl w:ilvl="0" w:tplc="DB4454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4075A">
      <w:start w:val="125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0A8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100D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0215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2B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32D4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20B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9D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5CC2"/>
    <w:rsid w:val="0004022F"/>
    <w:rsid w:val="0015556C"/>
    <w:rsid w:val="00174717"/>
    <w:rsid w:val="002C49BC"/>
    <w:rsid w:val="00305E88"/>
    <w:rsid w:val="005410CC"/>
    <w:rsid w:val="006E47A2"/>
    <w:rsid w:val="006F6312"/>
    <w:rsid w:val="00714ECE"/>
    <w:rsid w:val="00743517"/>
    <w:rsid w:val="00760388"/>
    <w:rsid w:val="007973DF"/>
    <w:rsid w:val="007F5E0F"/>
    <w:rsid w:val="00A25CC2"/>
    <w:rsid w:val="00A27EAC"/>
    <w:rsid w:val="00B466FB"/>
    <w:rsid w:val="00C34386"/>
    <w:rsid w:val="00C750AD"/>
    <w:rsid w:val="00CB1624"/>
    <w:rsid w:val="00DD28DC"/>
    <w:rsid w:val="00E7012D"/>
    <w:rsid w:val="00E824C4"/>
    <w:rsid w:val="00EC0D48"/>
    <w:rsid w:val="00ED4B88"/>
    <w:rsid w:val="00EE3B99"/>
    <w:rsid w:val="00F9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CC2"/>
  </w:style>
  <w:style w:type="paragraph" w:styleId="Pieddepage">
    <w:name w:val="footer"/>
    <w:basedOn w:val="Normal"/>
    <w:link w:val="PieddepageCar"/>
    <w:uiPriority w:val="99"/>
    <w:unhideWhenUsed/>
    <w:rsid w:val="00A2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CC2"/>
  </w:style>
  <w:style w:type="paragraph" w:styleId="Textedebulles">
    <w:name w:val="Balloon Text"/>
    <w:basedOn w:val="Normal"/>
    <w:link w:val="TextedebullesCar"/>
    <w:uiPriority w:val="99"/>
    <w:semiHidden/>
    <w:unhideWhenUsed/>
    <w:rsid w:val="00A2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C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C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86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66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0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1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71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4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56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07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2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87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62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71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67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26C68CA8E04746AC8583F1FDD5D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0A979-DBD8-4BBC-AE58-439DEC2D72DB}"/>
      </w:docPartPr>
      <w:docPartBody>
        <w:p w:rsidR="00EB4C1D" w:rsidRDefault="00EB4C1D" w:rsidP="00EB4C1D">
          <w:pPr>
            <w:pStyle w:val="4D26C68CA8E04746AC8583F1FDD5D569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4C1D"/>
    <w:rsid w:val="00581996"/>
    <w:rsid w:val="00BC6C95"/>
    <w:rsid w:val="00E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26C68CA8E04746AC8583F1FDD5D569">
    <w:name w:val="4D26C68CA8E04746AC8583F1FDD5D569"/>
    <w:rsid w:val="00EB4C1D"/>
  </w:style>
  <w:style w:type="paragraph" w:customStyle="1" w:styleId="3A58EDD764E2453CB30D70F48F004AB5">
    <w:name w:val="3A58EDD764E2453CB30D70F48F004AB5"/>
    <w:rsid w:val="00EB4C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 Sahraoui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5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</vt:lpstr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</dc:title>
  <dc:creator>Start</dc:creator>
  <cp:lastModifiedBy>Start</cp:lastModifiedBy>
  <cp:revision>14</cp:revision>
  <dcterms:created xsi:type="dcterms:W3CDTF">2015-02-10T20:10:00Z</dcterms:created>
  <dcterms:modified xsi:type="dcterms:W3CDTF">2015-02-13T08:37:00Z</dcterms:modified>
</cp:coreProperties>
</file>