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22" w:rsidRPr="00857954" w:rsidRDefault="001502BB" w:rsidP="001502BB">
      <w:pPr>
        <w:jc w:val="center"/>
        <w:rPr>
          <w:rFonts w:ascii="Arial" w:hAnsi="Arial" w:cs="Arial"/>
          <w:b/>
          <w:sz w:val="20"/>
          <w:szCs w:val="20"/>
        </w:rPr>
      </w:pPr>
      <w:r w:rsidRPr="00857954">
        <w:rPr>
          <w:rFonts w:ascii="Arial" w:hAnsi="Arial" w:cs="Arial"/>
          <w:b/>
          <w:sz w:val="20"/>
          <w:szCs w:val="20"/>
        </w:rPr>
        <w:t>HEMATURIE</w:t>
      </w:r>
    </w:p>
    <w:p w:rsidR="001502BB" w:rsidRDefault="00140998" w:rsidP="00140998">
      <w:pPr>
        <w:autoSpaceDE w:val="0"/>
        <w:autoSpaceDN w:val="0"/>
        <w:adjustRightInd w:val="0"/>
        <w:spacing w:after="0" w:line="240" w:lineRule="auto"/>
        <w:rPr>
          <w:rFonts w:ascii="Arial" w:hAnsi="Arial" w:cs="Arial"/>
          <w:sz w:val="20"/>
          <w:szCs w:val="20"/>
        </w:rPr>
      </w:pPr>
      <w:r w:rsidRPr="00857954">
        <w:rPr>
          <w:rFonts w:ascii="Arial" w:hAnsi="Arial" w:cs="Arial"/>
          <w:b/>
          <w:sz w:val="20"/>
          <w:szCs w:val="20"/>
          <w:u w:val="single"/>
        </w:rPr>
        <w:t>I</w:t>
      </w:r>
      <w:r w:rsidR="001502BB" w:rsidRPr="00857954">
        <w:rPr>
          <w:rFonts w:ascii="Arial" w:hAnsi="Arial" w:cs="Arial"/>
          <w:b/>
          <w:sz w:val="20"/>
          <w:szCs w:val="20"/>
          <w:u w:val="single"/>
        </w:rPr>
        <w:t>- DEFINITION :</w:t>
      </w:r>
      <w:r w:rsidR="001502BB" w:rsidRPr="00857954">
        <w:rPr>
          <w:rFonts w:ascii="Arial" w:hAnsi="Arial" w:cs="Arial"/>
          <w:b/>
          <w:sz w:val="20"/>
          <w:szCs w:val="20"/>
        </w:rPr>
        <w:t xml:space="preserve"> </w:t>
      </w:r>
      <w:r w:rsidRPr="00857954">
        <w:rPr>
          <w:rFonts w:ascii="Arial" w:hAnsi="Arial" w:cs="Arial"/>
          <w:sz w:val="20"/>
          <w:szCs w:val="20"/>
        </w:rPr>
        <w:t>C’est la miction d’urines contenant</w:t>
      </w:r>
      <w:r w:rsidR="004F1F5A" w:rsidRPr="00857954">
        <w:rPr>
          <w:rFonts w:ascii="Arial" w:hAnsi="Arial" w:cs="Arial"/>
          <w:sz w:val="20"/>
          <w:szCs w:val="20"/>
        </w:rPr>
        <w:t xml:space="preserve"> une quantité anormale de sang</w:t>
      </w:r>
      <w:r w:rsidRPr="00857954">
        <w:rPr>
          <w:rFonts w:ascii="Arial" w:hAnsi="Arial" w:cs="Arial"/>
          <w:sz w:val="20"/>
          <w:szCs w:val="20"/>
        </w:rPr>
        <w:t>. Plus précisément, elle</w:t>
      </w:r>
      <w:r w:rsidR="001502BB" w:rsidRPr="00857954">
        <w:rPr>
          <w:rFonts w:ascii="Arial" w:hAnsi="Arial" w:cs="Arial"/>
          <w:sz w:val="20"/>
          <w:szCs w:val="20"/>
        </w:rPr>
        <w:t xml:space="preserve"> est définie par la présence de plus de 10</w:t>
      </w:r>
      <w:r w:rsidRPr="00857954">
        <w:rPr>
          <w:rFonts w:ascii="Arial" w:hAnsi="Arial" w:cs="Arial"/>
          <w:sz w:val="20"/>
          <w:szCs w:val="20"/>
        </w:rPr>
        <w:t xml:space="preserve"> </w:t>
      </w:r>
      <w:r w:rsidR="001502BB" w:rsidRPr="00857954">
        <w:rPr>
          <w:rFonts w:ascii="Arial" w:hAnsi="Arial" w:cs="Arial"/>
          <w:sz w:val="20"/>
          <w:szCs w:val="20"/>
        </w:rPr>
        <w:t>hématies/mm3 à l’examen cytologique urinaire quantitatif (le compte</w:t>
      </w:r>
      <w:r w:rsidRPr="00857954">
        <w:rPr>
          <w:rFonts w:ascii="Arial" w:hAnsi="Arial" w:cs="Arial"/>
          <w:sz w:val="20"/>
          <w:szCs w:val="20"/>
        </w:rPr>
        <w:t xml:space="preserve"> </w:t>
      </w:r>
      <w:r w:rsidR="001502BB" w:rsidRPr="00857954">
        <w:rPr>
          <w:rFonts w:ascii="Arial" w:hAnsi="Arial" w:cs="Arial"/>
          <w:sz w:val="20"/>
          <w:szCs w:val="20"/>
        </w:rPr>
        <w:t>d’Addis n’</w:t>
      </w:r>
      <w:r w:rsidRPr="00857954">
        <w:rPr>
          <w:rFonts w:ascii="Arial" w:hAnsi="Arial" w:cs="Arial"/>
          <w:sz w:val="20"/>
          <w:szCs w:val="20"/>
        </w:rPr>
        <w:t xml:space="preserve">est plus </w:t>
      </w:r>
      <w:r w:rsidR="001502BB" w:rsidRPr="00857954">
        <w:rPr>
          <w:rFonts w:ascii="Arial" w:hAnsi="Arial" w:cs="Arial"/>
          <w:sz w:val="20"/>
          <w:szCs w:val="20"/>
        </w:rPr>
        <w:t>recommandé). Elle est soit microscopique, invisible à</w:t>
      </w:r>
      <w:r w:rsidRPr="00857954">
        <w:rPr>
          <w:rFonts w:ascii="Arial" w:hAnsi="Arial" w:cs="Arial"/>
          <w:sz w:val="20"/>
          <w:szCs w:val="20"/>
        </w:rPr>
        <w:t xml:space="preserve"> </w:t>
      </w:r>
      <w:r w:rsidR="001502BB" w:rsidRPr="00857954">
        <w:rPr>
          <w:rFonts w:ascii="Arial" w:hAnsi="Arial" w:cs="Arial"/>
          <w:sz w:val="20"/>
          <w:szCs w:val="20"/>
        </w:rPr>
        <w:t>l'</w:t>
      </w:r>
      <w:r w:rsidRPr="00857954">
        <w:rPr>
          <w:rFonts w:ascii="Arial" w:hAnsi="Arial" w:cs="Arial"/>
          <w:sz w:val="20"/>
          <w:szCs w:val="20"/>
        </w:rPr>
        <w:t xml:space="preserve">œil nu, soit </w:t>
      </w:r>
      <w:r w:rsidR="001502BB" w:rsidRPr="00857954">
        <w:rPr>
          <w:rFonts w:ascii="Arial" w:hAnsi="Arial" w:cs="Arial"/>
          <w:sz w:val="20"/>
          <w:szCs w:val="20"/>
        </w:rPr>
        <w:t>macroscopique.</w:t>
      </w:r>
    </w:p>
    <w:p w:rsidR="005A6BDD" w:rsidRPr="00857954" w:rsidRDefault="005A6BDD" w:rsidP="00140998">
      <w:pPr>
        <w:autoSpaceDE w:val="0"/>
        <w:autoSpaceDN w:val="0"/>
        <w:adjustRightInd w:val="0"/>
        <w:spacing w:after="0" w:line="240" w:lineRule="auto"/>
        <w:rPr>
          <w:rFonts w:ascii="Arial" w:hAnsi="Arial" w:cs="Arial"/>
          <w:sz w:val="20"/>
          <w:szCs w:val="20"/>
        </w:rPr>
      </w:pPr>
    </w:p>
    <w:p w:rsidR="00D462E6" w:rsidRPr="00857954" w:rsidRDefault="007C141F" w:rsidP="00140998">
      <w:pPr>
        <w:autoSpaceDE w:val="0"/>
        <w:autoSpaceDN w:val="0"/>
        <w:adjustRightInd w:val="0"/>
        <w:spacing w:after="0" w:line="240" w:lineRule="auto"/>
        <w:rPr>
          <w:rFonts w:ascii="Arial" w:hAnsi="Arial" w:cs="Arial"/>
          <w:sz w:val="20"/>
          <w:szCs w:val="20"/>
        </w:rPr>
      </w:pPr>
      <w:r w:rsidRPr="00857954">
        <w:rPr>
          <w:rFonts w:ascii="Arial" w:hAnsi="Arial" w:cs="Arial"/>
          <w:b/>
          <w:sz w:val="20"/>
          <w:szCs w:val="20"/>
          <w:u w:val="single"/>
        </w:rPr>
        <w:t>II- DIAGNOSTIC DIFFERENTIEL :</w:t>
      </w:r>
      <w:r w:rsidRPr="00857954">
        <w:rPr>
          <w:rFonts w:ascii="Arial" w:hAnsi="Arial" w:cs="Arial"/>
          <w:b/>
          <w:sz w:val="20"/>
          <w:szCs w:val="20"/>
        </w:rPr>
        <w:t xml:space="preserve"> </w:t>
      </w:r>
      <w:r w:rsidRPr="00857954">
        <w:rPr>
          <w:rFonts w:ascii="Arial" w:hAnsi="Arial" w:cs="Arial"/>
          <w:sz w:val="20"/>
          <w:szCs w:val="20"/>
        </w:rPr>
        <w:t>avant d</w:t>
      </w:r>
      <w:r w:rsidR="00D462E6" w:rsidRPr="00857954">
        <w:rPr>
          <w:rFonts w:ascii="Arial" w:hAnsi="Arial" w:cs="Arial"/>
          <w:sz w:val="20"/>
          <w:szCs w:val="20"/>
        </w:rPr>
        <w:t>’affirmer l’hématurie, il faut éliminer ce qui n’est pas une hématurie :</w:t>
      </w:r>
    </w:p>
    <w:p w:rsidR="00D462E6" w:rsidRPr="00857954" w:rsidRDefault="00D462E6" w:rsidP="00140998">
      <w:pPr>
        <w:autoSpaceDE w:val="0"/>
        <w:autoSpaceDN w:val="0"/>
        <w:adjustRightInd w:val="0"/>
        <w:spacing w:after="0" w:line="240" w:lineRule="auto"/>
        <w:rPr>
          <w:rFonts w:ascii="Arial" w:hAnsi="Arial" w:cs="Arial"/>
          <w:sz w:val="20"/>
          <w:szCs w:val="20"/>
        </w:rPr>
      </w:pPr>
      <w:r w:rsidRPr="00857954">
        <w:rPr>
          <w:rFonts w:ascii="Arial" w:hAnsi="Arial" w:cs="Arial"/>
          <w:sz w:val="20"/>
          <w:szCs w:val="20"/>
        </w:rPr>
        <w:t>1- Une urétrorragie : saignement en dehors des mictions.</w:t>
      </w:r>
    </w:p>
    <w:p w:rsidR="00D462E6" w:rsidRPr="00857954" w:rsidRDefault="00D462E6" w:rsidP="00140998">
      <w:pPr>
        <w:autoSpaceDE w:val="0"/>
        <w:autoSpaceDN w:val="0"/>
        <w:adjustRightInd w:val="0"/>
        <w:spacing w:after="0" w:line="240" w:lineRule="auto"/>
        <w:rPr>
          <w:rFonts w:ascii="Arial" w:hAnsi="Arial" w:cs="Arial"/>
          <w:sz w:val="20"/>
          <w:szCs w:val="20"/>
        </w:rPr>
      </w:pPr>
      <w:r w:rsidRPr="00857954">
        <w:rPr>
          <w:rFonts w:ascii="Arial" w:hAnsi="Arial" w:cs="Arial"/>
          <w:sz w:val="20"/>
          <w:szCs w:val="20"/>
        </w:rPr>
        <w:t>2- Saignement génital : menstruations, métrorragies…</w:t>
      </w:r>
    </w:p>
    <w:p w:rsidR="00D462E6" w:rsidRPr="00857954" w:rsidRDefault="00D462E6" w:rsidP="00140998">
      <w:pPr>
        <w:autoSpaceDE w:val="0"/>
        <w:autoSpaceDN w:val="0"/>
        <w:adjustRightInd w:val="0"/>
        <w:spacing w:after="0" w:line="240" w:lineRule="auto"/>
        <w:rPr>
          <w:rFonts w:ascii="Arial" w:hAnsi="Arial" w:cs="Arial"/>
          <w:sz w:val="20"/>
          <w:szCs w:val="20"/>
        </w:rPr>
      </w:pPr>
      <w:r w:rsidRPr="00857954">
        <w:rPr>
          <w:rFonts w:ascii="Arial" w:hAnsi="Arial" w:cs="Arial"/>
          <w:sz w:val="20"/>
          <w:szCs w:val="20"/>
        </w:rPr>
        <w:t xml:space="preserve">3- Des urines colorées par des pigments : </w:t>
      </w:r>
    </w:p>
    <w:p w:rsidR="00D462E6" w:rsidRPr="00857954" w:rsidRDefault="00D462E6" w:rsidP="00D462E6">
      <w:pPr>
        <w:pStyle w:val="Paragraphedeliste"/>
        <w:numPr>
          <w:ilvl w:val="0"/>
          <w:numId w:val="3"/>
        </w:numPr>
        <w:autoSpaceDE w:val="0"/>
        <w:autoSpaceDN w:val="0"/>
        <w:adjustRightInd w:val="0"/>
        <w:spacing w:after="0" w:line="240" w:lineRule="auto"/>
        <w:rPr>
          <w:rFonts w:ascii="Arial" w:hAnsi="Arial" w:cs="Arial"/>
          <w:sz w:val="20"/>
          <w:szCs w:val="20"/>
        </w:rPr>
      </w:pPr>
      <w:r w:rsidRPr="00857954">
        <w:rPr>
          <w:rFonts w:ascii="Arial" w:hAnsi="Arial" w:cs="Arial"/>
          <w:sz w:val="20"/>
          <w:szCs w:val="20"/>
        </w:rPr>
        <w:t xml:space="preserve">Alimentaires : betteraves, choux rouge, myrtilles ; </w:t>
      </w:r>
    </w:p>
    <w:p w:rsidR="00D462E6" w:rsidRPr="00857954" w:rsidRDefault="00D462E6" w:rsidP="00D462E6">
      <w:pPr>
        <w:pStyle w:val="Paragraphedeliste"/>
        <w:numPr>
          <w:ilvl w:val="0"/>
          <w:numId w:val="3"/>
        </w:numPr>
        <w:autoSpaceDE w:val="0"/>
        <w:autoSpaceDN w:val="0"/>
        <w:adjustRightInd w:val="0"/>
        <w:spacing w:after="0" w:line="240" w:lineRule="auto"/>
        <w:rPr>
          <w:rFonts w:ascii="Arial" w:hAnsi="Arial" w:cs="Arial"/>
          <w:sz w:val="20"/>
          <w:szCs w:val="20"/>
        </w:rPr>
      </w:pPr>
      <w:r w:rsidRPr="00857954">
        <w:rPr>
          <w:rFonts w:ascii="Arial" w:hAnsi="Arial" w:cs="Arial"/>
          <w:sz w:val="20"/>
          <w:szCs w:val="20"/>
        </w:rPr>
        <w:t>Médicamenteux : rifampicine, métronidazole, phénindione, ceratins laxatifs ;</w:t>
      </w:r>
    </w:p>
    <w:p w:rsidR="00D462E6" w:rsidRDefault="00D462E6" w:rsidP="00D462E6">
      <w:pPr>
        <w:pStyle w:val="Paragraphedeliste"/>
        <w:numPr>
          <w:ilvl w:val="0"/>
          <w:numId w:val="3"/>
        </w:numPr>
        <w:autoSpaceDE w:val="0"/>
        <w:autoSpaceDN w:val="0"/>
        <w:adjustRightInd w:val="0"/>
        <w:spacing w:after="0" w:line="240" w:lineRule="auto"/>
        <w:rPr>
          <w:rFonts w:ascii="Arial" w:hAnsi="Arial" w:cs="Arial"/>
          <w:sz w:val="20"/>
          <w:szCs w:val="20"/>
        </w:rPr>
      </w:pPr>
      <w:r w:rsidRPr="00857954">
        <w:rPr>
          <w:rFonts w:ascii="Arial" w:hAnsi="Arial" w:cs="Arial"/>
          <w:sz w:val="20"/>
          <w:szCs w:val="20"/>
        </w:rPr>
        <w:t>Humains : hémoglobine, myoglobine,</w:t>
      </w:r>
      <w:r w:rsidR="001F49FF" w:rsidRPr="00857954">
        <w:rPr>
          <w:rFonts w:ascii="Arial" w:hAnsi="Arial" w:cs="Arial"/>
          <w:sz w:val="20"/>
          <w:szCs w:val="20"/>
        </w:rPr>
        <w:t xml:space="preserve"> </w:t>
      </w:r>
      <w:r w:rsidRPr="00857954">
        <w:rPr>
          <w:rFonts w:ascii="Arial" w:hAnsi="Arial" w:cs="Arial"/>
          <w:sz w:val="20"/>
          <w:szCs w:val="20"/>
        </w:rPr>
        <w:t>bilirubine.</w:t>
      </w:r>
    </w:p>
    <w:p w:rsidR="005A6BDD" w:rsidRPr="00857954" w:rsidRDefault="005A6BDD" w:rsidP="005A6BDD">
      <w:pPr>
        <w:pStyle w:val="Paragraphedeliste"/>
        <w:autoSpaceDE w:val="0"/>
        <w:autoSpaceDN w:val="0"/>
        <w:adjustRightInd w:val="0"/>
        <w:spacing w:after="0" w:line="240" w:lineRule="auto"/>
        <w:rPr>
          <w:rFonts w:ascii="Arial" w:hAnsi="Arial" w:cs="Arial"/>
          <w:sz w:val="20"/>
          <w:szCs w:val="20"/>
        </w:rPr>
      </w:pPr>
    </w:p>
    <w:p w:rsidR="00140998" w:rsidRPr="00857954" w:rsidRDefault="00140998" w:rsidP="00140998">
      <w:pPr>
        <w:autoSpaceDE w:val="0"/>
        <w:autoSpaceDN w:val="0"/>
        <w:adjustRightInd w:val="0"/>
        <w:spacing w:after="0" w:line="240" w:lineRule="auto"/>
        <w:rPr>
          <w:rFonts w:ascii="Arial" w:hAnsi="Arial" w:cs="Arial"/>
          <w:b/>
          <w:sz w:val="20"/>
          <w:szCs w:val="20"/>
          <w:u w:val="single"/>
        </w:rPr>
      </w:pPr>
      <w:r w:rsidRPr="00857954">
        <w:rPr>
          <w:rFonts w:ascii="Arial" w:hAnsi="Arial" w:cs="Arial"/>
          <w:b/>
          <w:sz w:val="20"/>
          <w:szCs w:val="20"/>
          <w:u w:val="single"/>
        </w:rPr>
        <w:t>II</w:t>
      </w:r>
      <w:r w:rsidR="00D462E6" w:rsidRPr="00857954">
        <w:rPr>
          <w:rFonts w:ascii="Arial" w:hAnsi="Arial" w:cs="Arial"/>
          <w:b/>
          <w:sz w:val="20"/>
          <w:szCs w:val="20"/>
          <w:u w:val="single"/>
        </w:rPr>
        <w:t>I</w:t>
      </w:r>
      <w:r w:rsidRPr="00857954">
        <w:rPr>
          <w:rFonts w:ascii="Arial" w:hAnsi="Arial" w:cs="Arial"/>
          <w:b/>
          <w:sz w:val="20"/>
          <w:szCs w:val="20"/>
          <w:u w:val="single"/>
        </w:rPr>
        <w:t xml:space="preserve">- </w:t>
      </w:r>
      <w:r w:rsidR="00D462E6" w:rsidRPr="00857954">
        <w:rPr>
          <w:rFonts w:ascii="Arial" w:hAnsi="Arial" w:cs="Arial"/>
          <w:b/>
          <w:sz w:val="20"/>
          <w:szCs w:val="20"/>
          <w:u w:val="single"/>
        </w:rPr>
        <w:t>DEMARCHE DIAGNOSTI</w:t>
      </w:r>
      <w:r w:rsidR="00904727" w:rsidRPr="00857954">
        <w:rPr>
          <w:rFonts w:ascii="Arial" w:hAnsi="Arial" w:cs="Arial"/>
          <w:b/>
          <w:sz w:val="20"/>
          <w:szCs w:val="20"/>
          <w:u w:val="single"/>
        </w:rPr>
        <w:t>QUE :</w:t>
      </w:r>
    </w:p>
    <w:p w:rsidR="00087D0B" w:rsidRPr="00857954" w:rsidRDefault="00087D0B" w:rsidP="00087D0B">
      <w:pPr>
        <w:autoSpaceDE w:val="0"/>
        <w:autoSpaceDN w:val="0"/>
        <w:adjustRightInd w:val="0"/>
        <w:spacing w:after="0" w:line="240" w:lineRule="auto"/>
        <w:rPr>
          <w:rFonts w:ascii="Arial" w:hAnsi="Arial" w:cs="Arial"/>
          <w:b/>
          <w:sz w:val="20"/>
          <w:szCs w:val="20"/>
          <w:u w:val="single"/>
        </w:rPr>
      </w:pPr>
      <w:r w:rsidRPr="00857954">
        <w:rPr>
          <w:rFonts w:ascii="Arial" w:hAnsi="Arial" w:cs="Arial"/>
          <w:b/>
          <w:sz w:val="20"/>
          <w:szCs w:val="20"/>
          <w:u w:val="single"/>
        </w:rPr>
        <w:t>1- L’interrogatoire</w:t>
      </w:r>
      <w:r w:rsidR="00904727" w:rsidRPr="00857954">
        <w:rPr>
          <w:rFonts w:ascii="Arial" w:hAnsi="Arial" w:cs="Arial"/>
          <w:b/>
          <w:sz w:val="20"/>
          <w:szCs w:val="20"/>
          <w:u w:val="single"/>
        </w:rPr>
        <w:t xml:space="preserve">: </w:t>
      </w:r>
    </w:p>
    <w:p w:rsidR="00B674F7" w:rsidRPr="00B674F7" w:rsidRDefault="00087D0B" w:rsidP="00087D0B">
      <w:pPr>
        <w:autoSpaceDE w:val="0"/>
        <w:autoSpaceDN w:val="0"/>
        <w:adjustRightInd w:val="0"/>
        <w:spacing w:after="0" w:line="240" w:lineRule="auto"/>
        <w:rPr>
          <w:rFonts w:ascii="Arial" w:hAnsi="Arial" w:cs="Arial"/>
          <w:sz w:val="20"/>
          <w:szCs w:val="20"/>
        </w:rPr>
      </w:pPr>
      <w:r w:rsidRPr="005A6BDD">
        <w:rPr>
          <w:rFonts w:ascii="Arial" w:hAnsi="Arial" w:cs="Arial"/>
          <w:b/>
          <w:sz w:val="20"/>
          <w:szCs w:val="20"/>
        </w:rPr>
        <w:t>*La chronologie :</w:t>
      </w:r>
      <w:r w:rsidRPr="00857954">
        <w:rPr>
          <w:rFonts w:ascii="Arial" w:hAnsi="Arial" w:cs="Arial"/>
          <w:sz w:val="20"/>
          <w:szCs w:val="20"/>
        </w:rPr>
        <w:t xml:space="preserve"> </w:t>
      </w:r>
      <w:r w:rsidR="00904727" w:rsidRPr="00857954">
        <w:rPr>
          <w:rFonts w:ascii="Arial" w:hAnsi="Arial" w:cs="Arial"/>
          <w:sz w:val="20"/>
          <w:szCs w:val="20"/>
        </w:rPr>
        <w:t>peut renseigner sur son origine</w:t>
      </w:r>
      <w:r w:rsidR="005A6BDD">
        <w:rPr>
          <w:rFonts w:ascii="Arial" w:hAnsi="Arial" w:cs="Arial"/>
          <w:sz w:val="20"/>
          <w:szCs w:val="20"/>
        </w:rPr>
        <w:t xml:space="preserve"> (voir tab 01)</w:t>
      </w:r>
      <w:r w:rsidR="00904727" w:rsidRPr="00857954">
        <w:rPr>
          <w:rFonts w:ascii="Arial" w:hAnsi="Arial" w:cs="Arial"/>
          <w:sz w:val="20"/>
          <w:szCs w:val="20"/>
        </w:rPr>
        <w:t xml:space="preserve">. En cas d’hématurie macroscopique persistante, le fractionnement des urines permet de classer les hématuries en : </w:t>
      </w:r>
    </w:p>
    <w:p w:rsidR="00904727" w:rsidRPr="00857954" w:rsidRDefault="00904727" w:rsidP="00904727">
      <w:pPr>
        <w:pStyle w:val="Paragraphedeliste"/>
        <w:numPr>
          <w:ilvl w:val="0"/>
          <w:numId w:val="1"/>
        </w:numPr>
        <w:rPr>
          <w:rFonts w:ascii="Arial" w:hAnsi="Arial" w:cs="Arial"/>
          <w:sz w:val="20"/>
          <w:szCs w:val="20"/>
        </w:rPr>
      </w:pPr>
      <w:r w:rsidRPr="00857954">
        <w:rPr>
          <w:rFonts w:ascii="Arial" w:hAnsi="Arial" w:cs="Arial"/>
          <w:sz w:val="20"/>
          <w:szCs w:val="20"/>
        </w:rPr>
        <w:t>Initiale, d’ori</w:t>
      </w:r>
      <w:r w:rsidR="00087D0B" w:rsidRPr="00857954">
        <w:rPr>
          <w:rFonts w:ascii="Arial" w:hAnsi="Arial" w:cs="Arial"/>
          <w:sz w:val="20"/>
          <w:szCs w:val="20"/>
        </w:rPr>
        <w:t xml:space="preserve">gine sous-vésicale ; </w:t>
      </w:r>
    </w:p>
    <w:p w:rsidR="00087D0B" w:rsidRPr="00857954" w:rsidRDefault="00904727" w:rsidP="00904727">
      <w:pPr>
        <w:pStyle w:val="Paragraphedeliste"/>
        <w:numPr>
          <w:ilvl w:val="0"/>
          <w:numId w:val="1"/>
        </w:numPr>
        <w:rPr>
          <w:rFonts w:ascii="Arial" w:hAnsi="Arial" w:cs="Arial"/>
          <w:sz w:val="20"/>
          <w:szCs w:val="20"/>
        </w:rPr>
      </w:pPr>
      <w:r w:rsidRPr="00857954">
        <w:rPr>
          <w:rFonts w:ascii="Arial" w:hAnsi="Arial" w:cs="Arial"/>
          <w:sz w:val="20"/>
          <w:szCs w:val="20"/>
        </w:rPr>
        <w:t>T</w:t>
      </w:r>
      <w:r w:rsidR="00087D0B" w:rsidRPr="00857954">
        <w:rPr>
          <w:rFonts w:ascii="Arial" w:hAnsi="Arial" w:cs="Arial"/>
          <w:sz w:val="20"/>
          <w:szCs w:val="20"/>
        </w:rPr>
        <w:t xml:space="preserve">erminale, </w:t>
      </w:r>
      <w:r w:rsidRPr="00857954">
        <w:rPr>
          <w:rFonts w:ascii="Arial" w:hAnsi="Arial" w:cs="Arial"/>
          <w:sz w:val="20"/>
          <w:szCs w:val="20"/>
        </w:rPr>
        <w:t xml:space="preserve">plutôt vésicale ; </w:t>
      </w:r>
    </w:p>
    <w:p w:rsidR="00904727" w:rsidRPr="00857954" w:rsidRDefault="00904727" w:rsidP="00087D0B">
      <w:pPr>
        <w:pStyle w:val="Paragraphedeliste"/>
        <w:numPr>
          <w:ilvl w:val="0"/>
          <w:numId w:val="1"/>
        </w:numPr>
        <w:rPr>
          <w:rFonts w:ascii="Arial" w:hAnsi="Arial" w:cs="Arial"/>
          <w:sz w:val="20"/>
          <w:szCs w:val="20"/>
        </w:rPr>
      </w:pPr>
      <w:r w:rsidRPr="00857954">
        <w:rPr>
          <w:rFonts w:ascii="Arial" w:hAnsi="Arial" w:cs="Arial"/>
          <w:sz w:val="20"/>
          <w:szCs w:val="20"/>
        </w:rPr>
        <w:t>mais l’hématurie</w:t>
      </w:r>
      <w:r w:rsidR="00087D0B" w:rsidRPr="00857954">
        <w:rPr>
          <w:rFonts w:ascii="Arial" w:hAnsi="Arial" w:cs="Arial"/>
          <w:sz w:val="20"/>
          <w:szCs w:val="20"/>
        </w:rPr>
        <w:t xml:space="preserve"> </w:t>
      </w:r>
      <w:r w:rsidRPr="00857954">
        <w:rPr>
          <w:rFonts w:ascii="Arial" w:hAnsi="Arial" w:cs="Arial"/>
          <w:sz w:val="20"/>
          <w:szCs w:val="20"/>
        </w:rPr>
        <w:t>totale n’a pas de valeur localisatrice et ne permet pas, en</w:t>
      </w:r>
      <w:r w:rsidR="00087D0B" w:rsidRPr="00857954">
        <w:rPr>
          <w:rFonts w:ascii="Arial" w:hAnsi="Arial" w:cs="Arial"/>
          <w:sz w:val="20"/>
          <w:szCs w:val="20"/>
        </w:rPr>
        <w:t xml:space="preserve"> </w:t>
      </w:r>
      <w:r w:rsidRPr="00857954">
        <w:rPr>
          <w:rFonts w:ascii="Arial" w:hAnsi="Arial" w:cs="Arial"/>
          <w:sz w:val="20"/>
          <w:szCs w:val="20"/>
        </w:rPr>
        <w:t>particulier, de distinguer une origine rénale ou de la voie</w:t>
      </w:r>
      <w:r w:rsidR="00087D0B" w:rsidRPr="00857954">
        <w:rPr>
          <w:rFonts w:ascii="Arial" w:hAnsi="Arial" w:cs="Arial"/>
          <w:sz w:val="20"/>
          <w:szCs w:val="20"/>
        </w:rPr>
        <w:t xml:space="preserve"> </w:t>
      </w:r>
      <w:r w:rsidRPr="00857954">
        <w:rPr>
          <w:rFonts w:ascii="Arial" w:hAnsi="Arial" w:cs="Arial"/>
          <w:sz w:val="20"/>
          <w:szCs w:val="20"/>
        </w:rPr>
        <w:t>excrétrice.</w:t>
      </w:r>
    </w:p>
    <w:p w:rsidR="00710F0A" w:rsidRPr="00857954" w:rsidRDefault="00710F0A" w:rsidP="00710F0A">
      <w:pPr>
        <w:rPr>
          <w:rFonts w:ascii="Arial" w:hAnsi="Arial" w:cs="Arial"/>
          <w:sz w:val="20"/>
          <w:szCs w:val="20"/>
        </w:rPr>
      </w:pPr>
      <w:r w:rsidRPr="005A6BDD">
        <w:rPr>
          <w:rFonts w:ascii="Arial" w:hAnsi="Arial" w:cs="Arial"/>
          <w:b/>
          <w:sz w:val="20"/>
          <w:szCs w:val="20"/>
        </w:rPr>
        <w:t>*Antécédents personnels et (ou) familiaux d’hématurie dans un contexte de maladie héréditaire</w:t>
      </w:r>
      <w:r w:rsidR="005A6BDD">
        <w:rPr>
          <w:rFonts w:ascii="Arial" w:hAnsi="Arial" w:cs="Arial"/>
          <w:b/>
          <w:sz w:val="20"/>
          <w:szCs w:val="20"/>
        </w:rPr>
        <w:t> :</w:t>
      </w:r>
      <w:r w:rsidRPr="00857954">
        <w:rPr>
          <w:rFonts w:ascii="Arial" w:hAnsi="Arial" w:cs="Arial"/>
          <w:sz w:val="20"/>
          <w:szCs w:val="20"/>
        </w:rPr>
        <w:t xml:space="preserve"> polykystose rénale, drépanocytose, syndrome d’Alport (surdité associée) </w:t>
      </w:r>
      <w:r w:rsidRPr="00242DB2">
        <w:rPr>
          <w:rFonts w:ascii="Arial" w:hAnsi="Arial" w:cs="Arial"/>
          <w:b/>
          <w:sz w:val="20"/>
          <w:szCs w:val="20"/>
        </w:rPr>
        <w:t xml:space="preserve">ou de maladie lithiasique </w:t>
      </w:r>
      <w:r w:rsidRPr="00857954">
        <w:rPr>
          <w:rFonts w:ascii="Arial" w:hAnsi="Arial" w:cs="Arial"/>
          <w:sz w:val="20"/>
          <w:szCs w:val="20"/>
        </w:rPr>
        <w:t>(colique néphrétique) ;</w:t>
      </w:r>
    </w:p>
    <w:p w:rsidR="00710F0A" w:rsidRPr="005A6BDD" w:rsidRDefault="00710F0A" w:rsidP="00710F0A">
      <w:pPr>
        <w:rPr>
          <w:rFonts w:ascii="Arial" w:hAnsi="Arial" w:cs="Arial"/>
          <w:b/>
          <w:sz w:val="20"/>
          <w:szCs w:val="20"/>
        </w:rPr>
      </w:pPr>
      <w:r w:rsidRPr="005A6BDD">
        <w:rPr>
          <w:rFonts w:ascii="Arial" w:hAnsi="Arial" w:cs="Arial"/>
          <w:b/>
          <w:sz w:val="20"/>
          <w:szCs w:val="20"/>
        </w:rPr>
        <w:t xml:space="preserve">*La notion d’infection urinaire récente, de prise médicamenteuse, d’un traumatisme lombaire ou pelvien, d’un tabagisme </w:t>
      </w:r>
      <w:r w:rsidRPr="00857954">
        <w:rPr>
          <w:rFonts w:ascii="Arial" w:hAnsi="Arial" w:cs="Arial"/>
          <w:sz w:val="20"/>
          <w:szCs w:val="20"/>
        </w:rPr>
        <w:t>(risque de cancer vésical)</w:t>
      </w:r>
      <w:r w:rsidRPr="005A6BDD">
        <w:rPr>
          <w:rFonts w:ascii="Arial" w:hAnsi="Arial" w:cs="Arial"/>
          <w:b/>
          <w:sz w:val="20"/>
          <w:szCs w:val="20"/>
        </w:rPr>
        <w:t>, d’une radiothérapie pelvienne, d’exercices physiques importants ;</w:t>
      </w:r>
    </w:p>
    <w:p w:rsidR="00710F0A" w:rsidRPr="00857954" w:rsidRDefault="00710F0A" w:rsidP="00710F0A">
      <w:pPr>
        <w:rPr>
          <w:rFonts w:ascii="Arial" w:hAnsi="Arial" w:cs="Arial"/>
          <w:sz w:val="20"/>
          <w:szCs w:val="20"/>
        </w:rPr>
      </w:pPr>
      <w:r w:rsidRPr="005A6BDD">
        <w:rPr>
          <w:rFonts w:ascii="Arial" w:hAnsi="Arial" w:cs="Arial"/>
          <w:b/>
          <w:sz w:val="20"/>
          <w:szCs w:val="20"/>
        </w:rPr>
        <w:t>*la survenue d’une infection ORL ou respiratoire récente</w:t>
      </w:r>
      <w:r w:rsidRPr="00857954">
        <w:rPr>
          <w:rFonts w:ascii="Arial" w:hAnsi="Arial" w:cs="Arial"/>
          <w:sz w:val="20"/>
          <w:szCs w:val="20"/>
        </w:rPr>
        <w:t xml:space="preserve"> évoque soit une glomérulonéphrite aiguë post</w:t>
      </w:r>
      <w:r w:rsidR="00242DB2">
        <w:rPr>
          <w:rFonts w:ascii="Arial" w:hAnsi="Arial" w:cs="Arial"/>
          <w:sz w:val="20"/>
          <w:szCs w:val="20"/>
        </w:rPr>
        <w:t xml:space="preserve"> </w:t>
      </w:r>
      <w:r w:rsidRPr="00857954">
        <w:rPr>
          <w:rFonts w:ascii="Arial" w:hAnsi="Arial" w:cs="Arial"/>
          <w:sz w:val="20"/>
          <w:szCs w:val="20"/>
        </w:rPr>
        <w:t>infectieuse (délai 15 j), soit une néphropathie à IgA (délai 24 à 48 h) ;</w:t>
      </w:r>
    </w:p>
    <w:p w:rsidR="002D677D" w:rsidRPr="00857954" w:rsidRDefault="00710F0A" w:rsidP="00710F0A">
      <w:pPr>
        <w:rPr>
          <w:rFonts w:ascii="Arial" w:hAnsi="Arial" w:cs="Arial"/>
          <w:sz w:val="20"/>
          <w:szCs w:val="20"/>
        </w:rPr>
      </w:pPr>
      <w:r w:rsidRPr="005A6BDD">
        <w:rPr>
          <w:rFonts w:ascii="Arial" w:hAnsi="Arial" w:cs="Arial"/>
          <w:b/>
          <w:sz w:val="20"/>
          <w:szCs w:val="20"/>
        </w:rPr>
        <w:t xml:space="preserve">*Des troubles mictionnels chez un homme âgé </w:t>
      </w:r>
      <w:r w:rsidRPr="00857954">
        <w:rPr>
          <w:rFonts w:ascii="Arial" w:hAnsi="Arial" w:cs="Arial"/>
          <w:sz w:val="20"/>
          <w:szCs w:val="20"/>
        </w:rPr>
        <w:t>(dysurie, pollakiurie, nycturie) ;</w:t>
      </w:r>
    </w:p>
    <w:p w:rsidR="002D677D" w:rsidRPr="005A6BDD" w:rsidRDefault="002D677D" w:rsidP="00710F0A">
      <w:pPr>
        <w:rPr>
          <w:rFonts w:ascii="Arial" w:hAnsi="Arial" w:cs="Arial"/>
          <w:b/>
          <w:sz w:val="20"/>
          <w:szCs w:val="20"/>
        </w:rPr>
      </w:pPr>
      <w:r w:rsidRPr="005A6BDD">
        <w:rPr>
          <w:rFonts w:ascii="Arial" w:hAnsi="Arial" w:cs="Arial"/>
          <w:b/>
          <w:sz w:val="20"/>
          <w:szCs w:val="20"/>
        </w:rPr>
        <w:t>*L</w:t>
      </w:r>
      <w:r w:rsidR="00710F0A" w:rsidRPr="005A6BDD">
        <w:rPr>
          <w:rFonts w:ascii="Arial" w:hAnsi="Arial" w:cs="Arial"/>
          <w:b/>
          <w:sz w:val="20"/>
          <w:szCs w:val="20"/>
        </w:rPr>
        <w:t>a notion de séjour en pays d’endémie de bilharziose ;</w:t>
      </w:r>
    </w:p>
    <w:p w:rsidR="00710F0A" w:rsidRPr="005A6BDD" w:rsidRDefault="002D677D" w:rsidP="00710F0A">
      <w:pPr>
        <w:rPr>
          <w:rFonts w:ascii="Arial" w:hAnsi="Arial" w:cs="Arial"/>
          <w:b/>
          <w:sz w:val="20"/>
          <w:szCs w:val="20"/>
        </w:rPr>
      </w:pPr>
      <w:r w:rsidRPr="005A6BDD">
        <w:rPr>
          <w:rFonts w:ascii="Arial" w:hAnsi="Arial" w:cs="Arial"/>
          <w:b/>
          <w:sz w:val="20"/>
          <w:szCs w:val="20"/>
        </w:rPr>
        <w:t>*L</w:t>
      </w:r>
      <w:r w:rsidR="00710F0A" w:rsidRPr="005A6BDD">
        <w:rPr>
          <w:rFonts w:ascii="Arial" w:hAnsi="Arial" w:cs="Arial"/>
          <w:b/>
          <w:sz w:val="20"/>
          <w:szCs w:val="20"/>
        </w:rPr>
        <w:t>’état de la vaccination antituberculeuse ;</w:t>
      </w:r>
    </w:p>
    <w:p w:rsidR="00710F0A" w:rsidRPr="00857954" w:rsidRDefault="002D677D" w:rsidP="00710F0A">
      <w:pPr>
        <w:rPr>
          <w:rFonts w:ascii="Arial" w:hAnsi="Arial" w:cs="Arial"/>
          <w:sz w:val="20"/>
          <w:szCs w:val="20"/>
        </w:rPr>
      </w:pPr>
      <w:r w:rsidRPr="005A6BDD">
        <w:rPr>
          <w:rFonts w:ascii="Arial" w:hAnsi="Arial" w:cs="Arial"/>
          <w:b/>
          <w:sz w:val="20"/>
          <w:szCs w:val="20"/>
        </w:rPr>
        <w:t>*U</w:t>
      </w:r>
      <w:r w:rsidR="00710F0A" w:rsidRPr="005A6BDD">
        <w:rPr>
          <w:rFonts w:ascii="Arial" w:hAnsi="Arial" w:cs="Arial"/>
          <w:b/>
          <w:sz w:val="20"/>
          <w:szCs w:val="20"/>
        </w:rPr>
        <w:t>n traitement anticoagulant, la prise d’aspirine ou un</w:t>
      </w:r>
      <w:r w:rsidRPr="005A6BDD">
        <w:rPr>
          <w:rFonts w:ascii="Arial" w:hAnsi="Arial" w:cs="Arial"/>
          <w:b/>
          <w:sz w:val="20"/>
          <w:szCs w:val="20"/>
        </w:rPr>
        <w:t xml:space="preserve"> trouble de la crase </w:t>
      </w:r>
      <w:r w:rsidR="00710F0A" w:rsidRPr="005A6BDD">
        <w:rPr>
          <w:rFonts w:ascii="Arial" w:hAnsi="Arial" w:cs="Arial"/>
          <w:b/>
          <w:sz w:val="20"/>
          <w:szCs w:val="20"/>
        </w:rPr>
        <w:t>sanguine</w:t>
      </w:r>
      <w:r w:rsidR="00242DB2">
        <w:rPr>
          <w:rFonts w:ascii="Arial" w:hAnsi="Arial" w:cs="Arial"/>
          <w:sz w:val="20"/>
          <w:szCs w:val="20"/>
        </w:rPr>
        <w:t xml:space="preserve"> qui ne </w:t>
      </w:r>
      <w:r w:rsidR="00710F0A" w:rsidRPr="00857954">
        <w:rPr>
          <w:rFonts w:ascii="Arial" w:hAnsi="Arial" w:cs="Arial"/>
          <w:sz w:val="20"/>
          <w:szCs w:val="20"/>
        </w:rPr>
        <w:t>doivent pas faire</w:t>
      </w:r>
      <w:r w:rsidRPr="00857954">
        <w:rPr>
          <w:rFonts w:ascii="Arial" w:hAnsi="Arial" w:cs="Arial"/>
          <w:sz w:val="20"/>
          <w:szCs w:val="20"/>
        </w:rPr>
        <w:t xml:space="preserve"> </w:t>
      </w:r>
      <w:r w:rsidR="00710F0A" w:rsidRPr="00857954">
        <w:rPr>
          <w:rFonts w:ascii="Arial" w:hAnsi="Arial" w:cs="Arial"/>
          <w:sz w:val="20"/>
          <w:szCs w:val="20"/>
        </w:rPr>
        <w:t>arrêter le bilan à ce stade.</w:t>
      </w:r>
    </w:p>
    <w:p w:rsidR="001F49FF" w:rsidRPr="00857954" w:rsidRDefault="001F49FF" w:rsidP="00710F0A">
      <w:pPr>
        <w:rPr>
          <w:rFonts w:ascii="Arial" w:hAnsi="Arial" w:cs="Arial"/>
          <w:sz w:val="20"/>
          <w:szCs w:val="20"/>
        </w:rPr>
      </w:pPr>
      <w:r w:rsidRPr="00857954">
        <w:rPr>
          <w:rFonts w:ascii="Arial" w:hAnsi="Arial" w:cs="Arial"/>
          <w:b/>
          <w:sz w:val="20"/>
          <w:szCs w:val="20"/>
          <w:u w:val="single"/>
        </w:rPr>
        <w:t>2- Caractéristiques de l’hématurie :</w:t>
      </w:r>
      <w:r w:rsidRPr="00857954">
        <w:rPr>
          <w:rFonts w:ascii="Arial" w:hAnsi="Arial" w:cs="Arial"/>
          <w:sz w:val="20"/>
          <w:szCs w:val="20"/>
        </w:rPr>
        <w:t xml:space="preserve"> l’hématurie peut </w:t>
      </w:r>
      <w:r w:rsidR="001A0864" w:rsidRPr="00857954">
        <w:rPr>
          <w:rFonts w:ascii="Arial" w:hAnsi="Arial" w:cs="Arial"/>
          <w:sz w:val="20"/>
          <w:szCs w:val="20"/>
        </w:rPr>
        <w:t>être</w:t>
      </w:r>
    </w:p>
    <w:p w:rsidR="001F49FF" w:rsidRPr="00857954" w:rsidRDefault="001F49FF" w:rsidP="001F49FF">
      <w:pPr>
        <w:pStyle w:val="Paragraphedeliste"/>
        <w:numPr>
          <w:ilvl w:val="0"/>
          <w:numId w:val="3"/>
        </w:numPr>
        <w:rPr>
          <w:rFonts w:ascii="Arial" w:hAnsi="Arial" w:cs="Arial"/>
          <w:sz w:val="20"/>
          <w:szCs w:val="20"/>
        </w:rPr>
      </w:pPr>
      <w:r w:rsidRPr="00857954">
        <w:rPr>
          <w:rFonts w:ascii="Arial" w:hAnsi="Arial" w:cs="Arial"/>
          <w:sz w:val="20"/>
          <w:szCs w:val="20"/>
        </w:rPr>
        <w:t>Macroscopique : le patient décrit une ou plusieurs émissions d’urines rosées ou rouges. L’</w:t>
      </w:r>
      <w:r w:rsidR="001A0864" w:rsidRPr="00857954">
        <w:rPr>
          <w:rFonts w:ascii="Arial" w:hAnsi="Arial" w:cs="Arial"/>
          <w:sz w:val="20"/>
          <w:szCs w:val="20"/>
        </w:rPr>
        <w:t>œil</w:t>
      </w:r>
      <w:r w:rsidRPr="00857954">
        <w:rPr>
          <w:rFonts w:ascii="Arial" w:hAnsi="Arial" w:cs="Arial"/>
          <w:sz w:val="20"/>
          <w:szCs w:val="20"/>
        </w:rPr>
        <w:t xml:space="preserve"> humain perçoit volontiers cette coloration pour un débit d’hématies supérieur à 500/mm3. </w:t>
      </w:r>
    </w:p>
    <w:p w:rsidR="001F49FF" w:rsidRPr="00857954" w:rsidRDefault="001F49FF" w:rsidP="001F49FF">
      <w:pPr>
        <w:pStyle w:val="Paragraphedeliste"/>
        <w:numPr>
          <w:ilvl w:val="0"/>
          <w:numId w:val="3"/>
        </w:numPr>
        <w:rPr>
          <w:rFonts w:ascii="Arial" w:hAnsi="Arial" w:cs="Arial"/>
          <w:sz w:val="20"/>
          <w:szCs w:val="20"/>
        </w:rPr>
      </w:pPr>
      <w:r w:rsidRPr="00857954">
        <w:rPr>
          <w:rFonts w:ascii="Arial" w:hAnsi="Arial" w:cs="Arial"/>
          <w:sz w:val="20"/>
          <w:szCs w:val="20"/>
        </w:rPr>
        <w:t>Microscopique : est par définition invisible à l’œil nu : elle est dépistée par des bandel</w:t>
      </w:r>
      <w:r w:rsidR="001A0864" w:rsidRPr="00857954">
        <w:rPr>
          <w:rFonts w:ascii="Arial" w:hAnsi="Arial" w:cs="Arial"/>
          <w:sz w:val="20"/>
          <w:szCs w:val="20"/>
        </w:rPr>
        <w:t>e</w:t>
      </w:r>
      <w:r w:rsidRPr="00857954">
        <w:rPr>
          <w:rFonts w:ascii="Arial" w:hAnsi="Arial" w:cs="Arial"/>
          <w:sz w:val="20"/>
          <w:szCs w:val="20"/>
        </w:rPr>
        <w:t xml:space="preserve">ttes réactives </w:t>
      </w:r>
      <w:r w:rsidR="001A0864" w:rsidRPr="00857954">
        <w:rPr>
          <w:rFonts w:ascii="Arial" w:hAnsi="Arial" w:cs="Arial"/>
          <w:sz w:val="20"/>
          <w:szCs w:val="20"/>
        </w:rPr>
        <w:t>urinaires</w:t>
      </w:r>
      <w:r w:rsidRPr="00857954">
        <w:rPr>
          <w:rFonts w:ascii="Arial" w:hAnsi="Arial" w:cs="Arial"/>
          <w:sz w:val="20"/>
          <w:szCs w:val="20"/>
        </w:rPr>
        <w:t xml:space="preserve"> et théoriquement confirmée par des tests de laboratoire. Le seuil pathologique communément retenu est</w:t>
      </w:r>
      <w:r w:rsidR="001A0864" w:rsidRPr="00857954">
        <w:rPr>
          <w:rFonts w:ascii="Arial" w:hAnsi="Arial" w:cs="Arial"/>
          <w:sz w:val="20"/>
          <w:szCs w:val="20"/>
        </w:rPr>
        <w:t xml:space="preserve"> 10 hématies/mm3.</w:t>
      </w:r>
    </w:p>
    <w:p w:rsidR="00857954" w:rsidRPr="00857954" w:rsidRDefault="00857954" w:rsidP="002D677D">
      <w:pPr>
        <w:rPr>
          <w:rFonts w:ascii="Arial" w:hAnsi="Arial" w:cs="Arial"/>
          <w:sz w:val="20"/>
          <w:szCs w:val="20"/>
        </w:rPr>
      </w:pPr>
      <w:r w:rsidRPr="00857954">
        <w:rPr>
          <w:rFonts w:ascii="Arial" w:hAnsi="Arial" w:cs="Arial"/>
          <w:b/>
          <w:bCs/>
          <w:sz w:val="20"/>
          <w:szCs w:val="20"/>
          <w:u w:val="single"/>
        </w:rPr>
        <w:t>3</w:t>
      </w:r>
      <w:r w:rsidR="00C95295" w:rsidRPr="00857954">
        <w:rPr>
          <w:rFonts w:ascii="Arial" w:hAnsi="Arial" w:cs="Arial"/>
          <w:b/>
          <w:bCs/>
          <w:sz w:val="20"/>
          <w:szCs w:val="20"/>
          <w:u w:val="single"/>
        </w:rPr>
        <w:t>-</w:t>
      </w:r>
      <w:r w:rsidR="002D677D" w:rsidRPr="00857954">
        <w:rPr>
          <w:rFonts w:ascii="Arial" w:hAnsi="Arial" w:cs="Arial"/>
          <w:b/>
          <w:bCs/>
          <w:sz w:val="20"/>
          <w:szCs w:val="20"/>
          <w:u w:val="single"/>
        </w:rPr>
        <w:t xml:space="preserve"> Examen clinique</w:t>
      </w:r>
      <w:r w:rsidR="00C95295" w:rsidRPr="00857954">
        <w:rPr>
          <w:rFonts w:ascii="Arial" w:hAnsi="Arial" w:cs="Arial"/>
          <w:b/>
          <w:bCs/>
          <w:sz w:val="20"/>
          <w:szCs w:val="20"/>
          <w:u w:val="single"/>
        </w:rPr>
        <w:t> :</w:t>
      </w:r>
      <w:r w:rsidR="00C95295" w:rsidRPr="00857954">
        <w:rPr>
          <w:rFonts w:ascii="Arial" w:hAnsi="Arial" w:cs="Arial"/>
          <w:b/>
          <w:bCs/>
          <w:sz w:val="20"/>
          <w:szCs w:val="20"/>
        </w:rPr>
        <w:t xml:space="preserve"> </w:t>
      </w:r>
      <w:r w:rsidR="002D677D" w:rsidRPr="00857954">
        <w:rPr>
          <w:rFonts w:ascii="Arial" w:hAnsi="Arial" w:cs="Arial"/>
          <w:sz w:val="20"/>
          <w:szCs w:val="20"/>
        </w:rPr>
        <w:t>Il recherche :</w:t>
      </w:r>
    </w:p>
    <w:p w:rsidR="001A0864" w:rsidRPr="00857954" w:rsidRDefault="001A0864" w:rsidP="002D677D">
      <w:pPr>
        <w:rPr>
          <w:rFonts w:ascii="Arial" w:hAnsi="Arial" w:cs="Arial"/>
          <w:b/>
          <w:bCs/>
          <w:sz w:val="20"/>
          <w:szCs w:val="20"/>
        </w:rPr>
      </w:pPr>
      <w:r w:rsidRPr="00857954">
        <w:rPr>
          <w:rFonts w:ascii="Arial" w:hAnsi="Arial" w:cs="Arial"/>
          <w:sz w:val="20"/>
          <w:szCs w:val="20"/>
        </w:rPr>
        <w:t>* Une altération de l’état général avec amaigrissement ou asthénie en faveur d’une tuberculose ou d’un processus néoplasique.</w:t>
      </w:r>
    </w:p>
    <w:p w:rsidR="002D677D" w:rsidRPr="00857954" w:rsidRDefault="00C95295" w:rsidP="002D677D">
      <w:pPr>
        <w:rPr>
          <w:rFonts w:ascii="Arial" w:hAnsi="Arial" w:cs="Arial"/>
          <w:sz w:val="20"/>
          <w:szCs w:val="20"/>
        </w:rPr>
      </w:pPr>
      <w:r w:rsidRPr="00857954">
        <w:rPr>
          <w:rFonts w:ascii="Arial" w:hAnsi="Arial" w:cs="Arial"/>
          <w:sz w:val="20"/>
          <w:szCs w:val="20"/>
        </w:rPr>
        <w:lastRenderedPageBreak/>
        <w:t>*</w:t>
      </w:r>
      <w:r w:rsidR="001A0864" w:rsidRPr="00857954">
        <w:rPr>
          <w:rFonts w:ascii="Arial" w:hAnsi="Arial" w:cs="Arial"/>
          <w:sz w:val="20"/>
          <w:szCs w:val="20"/>
        </w:rPr>
        <w:t xml:space="preserve"> </w:t>
      </w:r>
      <w:r w:rsidRPr="00857954">
        <w:rPr>
          <w:rFonts w:ascii="Arial" w:hAnsi="Arial" w:cs="Arial"/>
          <w:sz w:val="20"/>
          <w:szCs w:val="20"/>
        </w:rPr>
        <w:t>L</w:t>
      </w:r>
      <w:r w:rsidR="002D677D" w:rsidRPr="00857954">
        <w:rPr>
          <w:rFonts w:ascii="Arial" w:hAnsi="Arial" w:cs="Arial"/>
          <w:sz w:val="20"/>
          <w:szCs w:val="20"/>
        </w:rPr>
        <w:t>a présence d’</w:t>
      </w:r>
      <w:r w:rsidRPr="00857954">
        <w:rPr>
          <w:rFonts w:ascii="Arial" w:hAnsi="Arial" w:cs="Arial"/>
          <w:sz w:val="20"/>
          <w:szCs w:val="20"/>
        </w:rPr>
        <w:t>œdèmes</w:t>
      </w:r>
      <w:r w:rsidR="002D677D" w:rsidRPr="00857954">
        <w:rPr>
          <w:rFonts w:ascii="Arial" w:hAnsi="Arial" w:cs="Arial"/>
          <w:sz w:val="20"/>
          <w:szCs w:val="20"/>
        </w:rPr>
        <w:t xml:space="preserve"> et (ou) d’hypertension artérielle</w:t>
      </w:r>
      <w:r w:rsidRPr="00857954">
        <w:rPr>
          <w:rFonts w:ascii="Arial" w:hAnsi="Arial" w:cs="Arial"/>
          <w:sz w:val="20"/>
          <w:szCs w:val="20"/>
        </w:rPr>
        <w:t xml:space="preserve"> </w:t>
      </w:r>
      <w:r w:rsidR="002D677D" w:rsidRPr="00857954">
        <w:rPr>
          <w:rFonts w:ascii="Arial" w:hAnsi="Arial" w:cs="Arial"/>
          <w:sz w:val="20"/>
          <w:szCs w:val="20"/>
        </w:rPr>
        <w:t>orientant vers une origine glomérulaire ;</w:t>
      </w:r>
    </w:p>
    <w:p w:rsidR="002D677D" w:rsidRPr="00857954" w:rsidRDefault="00C95295" w:rsidP="002D677D">
      <w:pPr>
        <w:rPr>
          <w:rFonts w:ascii="Arial" w:hAnsi="Arial" w:cs="Arial"/>
          <w:sz w:val="20"/>
          <w:szCs w:val="20"/>
        </w:rPr>
      </w:pPr>
      <w:r w:rsidRPr="00857954">
        <w:rPr>
          <w:rFonts w:ascii="Arial" w:hAnsi="Arial" w:cs="Arial"/>
          <w:sz w:val="20"/>
          <w:szCs w:val="20"/>
        </w:rPr>
        <w:t>*</w:t>
      </w:r>
      <w:r w:rsidR="001A0864" w:rsidRPr="00857954">
        <w:rPr>
          <w:rFonts w:ascii="Arial" w:hAnsi="Arial" w:cs="Arial"/>
          <w:sz w:val="20"/>
          <w:szCs w:val="20"/>
        </w:rPr>
        <w:t xml:space="preserve"> </w:t>
      </w:r>
      <w:r w:rsidRPr="00857954">
        <w:rPr>
          <w:rFonts w:ascii="Arial" w:hAnsi="Arial" w:cs="Arial"/>
          <w:sz w:val="20"/>
          <w:szCs w:val="20"/>
        </w:rPr>
        <w:t>U</w:t>
      </w:r>
      <w:r w:rsidR="002D677D" w:rsidRPr="00857954">
        <w:rPr>
          <w:rFonts w:ascii="Arial" w:hAnsi="Arial" w:cs="Arial"/>
          <w:sz w:val="20"/>
          <w:szCs w:val="20"/>
        </w:rPr>
        <w:t>ne masse dans les fosses lombaires avec un contact</w:t>
      </w:r>
      <w:r w:rsidRPr="00857954">
        <w:rPr>
          <w:rFonts w:ascii="Arial" w:hAnsi="Arial" w:cs="Arial"/>
          <w:sz w:val="20"/>
          <w:szCs w:val="20"/>
        </w:rPr>
        <w:t xml:space="preserve"> </w:t>
      </w:r>
      <w:r w:rsidR="002D677D" w:rsidRPr="00857954">
        <w:rPr>
          <w:rFonts w:ascii="Arial" w:hAnsi="Arial" w:cs="Arial"/>
          <w:sz w:val="20"/>
          <w:szCs w:val="20"/>
        </w:rPr>
        <w:t>lombaire témoignant de la présence de gros reins ;</w:t>
      </w:r>
    </w:p>
    <w:p w:rsidR="002D677D" w:rsidRPr="00857954" w:rsidRDefault="00C95295" w:rsidP="002D677D">
      <w:pPr>
        <w:rPr>
          <w:rFonts w:ascii="Arial" w:hAnsi="Arial" w:cs="Arial"/>
          <w:sz w:val="20"/>
          <w:szCs w:val="20"/>
        </w:rPr>
      </w:pPr>
      <w:r w:rsidRPr="00857954">
        <w:rPr>
          <w:rFonts w:ascii="Arial" w:hAnsi="Arial" w:cs="Arial"/>
          <w:sz w:val="20"/>
          <w:szCs w:val="20"/>
        </w:rPr>
        <w:t>*</w:t>
      </w:r>
      <w:r w:rsidR="001A0864" w:rsidRPr="00857954">
        <w:rPr>
          <w:rFonts w:ascii="Arial" w:hAnsi="Arial" w:cs="Arial"/>
          <w:sz w:val="20"/>
          <w:szCs w:val="20"/>
        </w:rPr>
        <w:t xml:space="preserve"> </w:t>
      </w:r>
      <w:r w:rsidRPr="00857954">
        <w:rPr>
          <w:rFonts w:ascii="Arial" w:hAnsi="Arial" w:cs="Arial"/>
          <w:sz w:val="20"/>
          <w:szCs w:val="20"/>
        </w:rPr>
        <w:t>U</w:t>
      </w:r>
      <w:r w:rsidR="002D677D" w:rsidRPr="00857954">
        <w:rPr>
          <w:rFonts w:ascii="Arial" w:hAnsi="Arial" w:cs="Arial"/>
          <w:sz w:val="20"/>
          <w:szCs w:val="20"/>
        </w:rPr>
        <w:t>ne prost</w:t>
      </w:r>
      <w:r w:rsidR="001A0864" w:rsidRPr="00857954">
        <w:rPr>
          <w:rFonts w:ascii="Arial" w:hAnsi="Arial" w:cs="Arial"/>
          <w:sz w:val="20"/>
          <w:szCs w:val="20"/>
        </w:rPr>
        <w:t>ate anormale au toucher rectal ;</w:t>
      </w:r>
    </w:p>
    <w:p w:rsidR="001A0864" w:rsidRPr="00857954" w:rsidRDefault="001A0864" w:rsidP="002D677D">
      <w:pPr>
        <w:rPr>
          <w:rFonts w:ascii="Arial" w:hAnsi="Arial" w:cs="Arial"/>
          <w:sz w:val="20"/>
          <w:szCs w:val="20"/>
        </w:rPr>
      </w:pPr>
      <w:r w:rsidRPr="00857954">
        <w:rPr>
          <w:rFonts w:ascii="Arial" w:hAnsi="Arial" w:cs="Arial"/>
          <w:sz w:val="20"/>
          <w:szCs w:val="20"/>
        </w:rPr>
        <w:t>* Examen des organes génitaux externes (l’homme) ;</w:t>
      </w:r>
    </w:p>
    <w:p w:rsidR="001A0864" w:rsidRPr="00857954" w:rsidRDefault="001A0864" w:rsidP="002D677D">
      <w:pPr>
        <w:rPr>
          <w:rFonts w:ascii="Arial" w:hAnsi="Arial" w:cs="Arial"/>
          <w:sz w:val="20"/>
          <w:szCs w:val="20"/>
        </w:rPr>
      </w:pPr>
      <w:r w:rsidRPr="00857954">
        <w:rPr>
          <w:rFonts w:ascii="Arial" w:hAnsi="Arial" w:cs="Arial"/>
          <w:sz w:val="20"/>
          <w:szCs w:val="20"/>
        </w:rPr>
        <w:t>* Examen gynécologique.</w:t>
      </w:r>
    </w:p>
    <w:p w:rsidR="00C95295" w:rsidRPr="00857954" w:rsidRDefault="00857954" w:rsidP="002D677D">
      <w:pPr>
        <w:rPr>
          <w:rFonts w:ascii="Arial" w:hAnsi="Arial" w:cs="Arial"/>
          <w:b/>
          <w:sz w:val="20"/>
          <w:szCs w:val="20"/>
          <w:u w:val="single"/>
        </w:rPr>
      </w:pPr>
      <w:r w:rsidRPr="00857954">
        <w:rPr>
          <w:rFonts w:ascii="Arial" w:hAnsi="Arial" w:cs="Arial"/>
          <w:b/>
          <w:sz w:val="20"/>
          <w:szCs w:val="20"/>
          <w:u w:val="single"/>
        </w:rPr>
        <w:t>4</w:t>
      </w:r>
      <w:r w:rsidR="00C95295" w:rsidRPr="00857954">
        <w:rPr>
          <w:rFonts w:ascii="Arial" w:hAnsi="Arial" w:cs="Arial"/>
          <w:b/>
          <w:sz w:val="20"/>
          <w:szCs w:val="20"/>
          <w:u w:val="single"/>
        </w:rPr>
        <w:t>- Examens complémentaires :</w:t>
      </w:r>
    </w:p>
    <w:p w:rsidR="001A0864" w:rsidRPr="00857954" w:rsidRDefault="001A0864" w:rsidP="001A0864">
      <w:pPr>
        <w:pStyle w:val="Paragraphedeliste"/>
        <w:numPr>
          <w:ilvl w:val="0"/>
          <w:numId w:val="1"/>
        </w:numPr>
        <w:rPr>
          <w:rFonts w:ascii="Arial" w:hAnsi="Arial" w:cs="Arial"/>
          <w:sz w:val="20"/>
          <w:szCs w:val="20"/>
        </w:rPr>
      </w:pPr>
      <w:r w:rsidRPr="005A6BDD">
        <w:rPr>
          <w:rFonts w:ascii="Arial" w:hAnsi="Arial" w:cs="Arial"/>
          <w:b/>
          <w:i/>
          <w:sz w:val="20"/>
          <w:szCs w:val="20"/>
        </w:rPr>
        <w:t>Bandelette urinaire :</w:t>
      </w:r>
      <w:r w:rsidRPr="00857954">
        <w:rPr>
          <w:rFonts w:ascii="Arial" w:hAnsi="Arial" w:cs="Arial"/>
          <w:sz w:val="20"/>
          <w:szCs w:val="20"/>
        </w:rPr>
        <w:t xml:space="preserve"> détecte la présence d’hème dans les urines. C’est un examen de dépistage puisque sa sensibilité</w:t>
      </w:r>
      <w:r w:rsidR="003F51CA" w:rsidRPr="00857954">
        <w:rPr>
          <w:rFonts w:ascii="Arial" w:hAnsi="Arial" w:cs="Arial"/>
          <w:sz w:val="20"/>
          <w:szCs w:val="20"/>
        </w:rPr>
        <w:t xml:space="preserve"> </w:t>
      </w:r>
      <w:r w:rsidRPr="00857954">
        <w:rPr>
          <w:rFonts w:ascii="Arial" w:hAnsi="Arial" w:cs="Arial"/>
          <w:sz w:val="20"/>
          <w:szCs w:val="20"/>
        </w:rPr>
        <w:t>approche 100% et que les faux négatifs sont exceptionnels.</w:t>
      </w:r>
    </w:p>
    <w:p w:rsidR="0014610F" w:rsidRPr="00857954" w:rsidRDefault="0014610F" w:rsidP="00C74CE2">
      <w:pPr>
        <w:pStyle w:val="Paragraphedeliste"/>
        <w:numPr>
          <w:ilvl w:val="0"/>
          <w:numId w:val="1"/>
        </w:numPr>
        <w:rPr>
          <w:rFonts w:ascii="Arial" w:hAnsi="Arial" w:cs="Arial"/>
          <w:b/>
          <w:bCs/>
          <w:i/>
          <w:iCs/>
          <w:sz w:val="20"/>
          <w:szCs w:val="20"/>
        </w:rPr>
      </w:pPr>
      <w:r w:rsidRPr="00857954">
        <w:rPr>
          <w:rFonts w:ascii="Arial" w:hAnsi="Arial" w:cs="Arial"/>
          <w:b/>
          <w:bCs/>
          <w:i/>
          <w:iCs/>
          <w:sz w:val="20"/>
          <w:szCs w:val="20"/>
        </w:rPr>
        <w:t xml:space="preserve">L’examen cytobactériologique avec mise en culture des urines : </w:t>
      </w:r>
      <w:r w:rsidRPr="00857954">
        <w:rPr>
          <w:rFonts w:ascii="Arial" w:hAnsi="Arial" w:cs="Arial"/>
          <w:sz w:val="20"/>
          <w:szCs w:val="20"/>
        </w:rPr>
        <w:t>permet d’affirmer une infection urinaire</w:t>
      </w:r>
      <w:r w:rsidR="00C74CE2" w:rsidRPr="00857954">
        <w:rPr>
          <w:rFonts w:ascii="Arial" w:hAnsi="Arial" w:cs="Arial"/>
          <w:b/>
          <w:bCs/>
          <w:i/>
          <w:iCs/>
          <w:sz w:val="20"/>
          <w:szCs w:val="20"/>
        </w:rPr>
        <w:t xml:space="preserve"> </w:t>
      </w:r>
      <w:r w:rsidRPr="00857954">
        <w:rPr>
          <w:rFonts w:ascii="Arial" w:hAnsi="Arial" w:cs="Arial"/>
          <w:sz w:val="20"/>
          <w:szCs w:val="20"/>
        </w:rPr>
        <w:t>responsable de la présence de sang dans les urines ; la</w:t>
      </w:r>
      <w:r w:rsidR="00C74CE2" w:rsidRPr="00857954">
        <w:rPr>
          <w:rFonts w:ascii="Arial" w:hAnsi="Arial" w:cs="Arial"/>
          <w:b/>
          <w:bCs/>
          <w:i/>
          <w:iCs/>
          <w:sz w:val="20"/>
          <w:szCs w:val="20"/>
        </w:rPr>
        <w:t xml:space="preserve"> </w:t>
      </w:r>
      <w:r w:rsidRPr="00857954">
        <w:rPr>
          <w:rFonts w:ascii="Arial" w:hAnsi="Arial" w:cs="Arial"/>
          <w:sz w:val="20"/>
          <w:szCs w:val="20"/>
        </w:rPr>
        <w:t>persistance éventuelle de l’hématurie doit être recherchée</w:t>
      </w:r>
      <w:r w:rsidR="00C74CE2" w:rsidRPr="00857954">
        <w:rPr>
          <w:rFonts w:ascii="Arial" w:hAnsi="Arial" w:cs="Arial"/>
          <w:b/>
          <w:bCs/>
          <w:i/>
          <w:iCs/>
          <w:sz w:val="20"/>
          <w:szCs w:val="20"/>
        </w:rPr>
        <w:t xml:space="preserve"> </w:t>
      </w:r>
      <w:r w:rsidRPr="00857954">
        <w:rPr>
          <w:rFonts w:ascii="Arial" w:hAnsi="Arial" w:cs="Arial"/>
          <w:sz w:val="20"/>
          <w:szCs w:val="20"/>
        </w:rPr>
        <w:t>après stérilisation des urines.</w:t>
      </w:r>
    </w:p>
    <w:p w:rsidR="0014610F" w:rsidRPr="00857954" w:rsidRDefault="0014610F" w:rsidP="0014610F">
      <w:pPr>
        <w:pStyle w:val="Paragraphedeliste"/>
        <w:numPr>
          <w:ilvl w:val="0"/>
          <w:numId w:val="1"/>
        </w:numPr>
        <w:rPr>
          <w:rFonts w:ascii="Arial" w:hAnsi="Arial" w:cs="Arial"/>
          <w:sz w:val="20"/>
          <w:szCs w:val="20"/>
        </w:rPr>
      </w:pPr>
      <w:r w:rsidRPr="00857954">
        <w:rPr>
          <w:rFonts w:ascii="Arial" w:hAnsi="Arial" w:cs="Arial"/>
          <w:b/>
          <w:bCs/>
          <w:i/>
          <w:iCs/>
          <w:sz w:val="20"/>
          <w:szCs w:val="20"/>
        </w:rPr>
        <w:t xml:space="preserve">La recherche d’une protéinurie associée </w:t>
      </w:r>
      <w:r w:rsidRPr="00857954">
        <w:rPr>
          <w:rFonts w:ascii="Arial" w:hAnsi="Arial" w:cs="Arial"/>
          <w:sz w:val="20"/>
          <w:szCs w:val="20"/>
        </w:rPr>
        <w:t>peut également</w:t>
      </w:r>
      <w:r w:rsidR="00C74CE2" w:rsidRPr="00857954">
        <w:rPr>
          <w:rFonts w:ascii="Arial" w:hAnsi="Arial" w:cs="Arial"/>
          <w:sz w:val="20"/>
          <w:szCs w:val="20"/>
        </w:rPr>
        <w:t xml:space="preserve"> </w:t>
      </w:r>
      <w:r w:rsidRPr="00857954">
        <w:rPr>
          <w:rFonts w:ascii="Arial" w:hAnsi="Arial" w:cs="Arial"/>
          <w:sz w:val="20"/>
          <w:szCs w:val="20"/>
        </w:rPr>
        <w:t>être détectée à la bandelette urinaire mais devra être</w:t>
      </w:r>
      <w:r w:rsidR="00C74CE2" w:rsidRPr="00857954">
        <w:rPr>
          <w:rFonts w:ascii="Arial" w:hAnsi="Arial" w:cs="Arial"/>
          <w:sz w:val="20"/>
          <w:szCs w:val="20"/>
        </w:rPr>
        <w:t xml:space="preserve"> </w:t>
      </w:r>
      <w:r w:rsidRPr="00857954">
        <w:rPr>
          <w:rFonts w:ascii="Arial" w:hAnsi="Arial" w:cs="Arial"/>
          <w:sz w:val="20"/>
          <w:szCs w:val="20"/>
        </w:rPr>
        <w:t>quantifiée par son dosage sur les urines de 24 h.</w:t>
      </w:r>
      <w:r w:rsidR="00C74CE2" w:rsidRPr="00857954">
        <w:rPr>
          <w:rFonts w:ascii="Arial" w:hAnsi="Arial" w:cs="Arial"/>
          <w:sz w:val="20"/>
          <w:szCs w:val="20"/>
        </w:rPr>
        <w:t xml:space="preserve"> </w:t>
      </w:r>
      <w:r w:rsidRPr="00857954">
        <w:rPr>
          <w:rFonts w:ascii="Arial" w:hAnsi="Arial" w:cs="Arial"/>
          <w:sz w:val="20"/>
          <w:szCs w:val="20"/>
        </w:rPr>
        <w:t>Un débit urinaire supérieur à 1,5 à 2 g/24 h suggère une</w:t>
      </w:r>
      <w:r w:rsidR="00C74CE2" w:rsidRPr="00857954">
        <w:rPr>
          <w:rFonts w:ascii="Arial" w:hAnsi="Arial" w:cs="Arial"/>
          <w:sz w:val="20"/>
          <w:szCs w:val="20"/>
        </w:rPr>
        <w:t xml:space="preserve"> </w:t>
      </w:r>
      <w:r w:rsidRPr="00857954">
        <w:rPr>
          <w:rFonts w:ascii="Arial" w:hAnsi="Arial" w:cs="Arial"/>
          <w:sz w:val="20"/>
          <w:szCs w:val="20"/>
        </w:rPr>
        <w:t>lésion glomérulaire même en cas d’hématurie macroscopique</w:t>
      </w:r>
      <w:r w:rsidR="00C74CE2" w:rsidRPr="00857954">
        <w:rPr>
          <w:rFonts w:ascii="Arial" w:hAnsi="Arial" w:cs="Arial"/>
          <w:sz w:val="20"/>
          <w:szCs w:val="20"/>
        </w:rPr>
        <w:t xml:space="preserve"> </w:t>
      </w:r>
      <w:r w:rsidRPr="00857954">
        <w:rPr>
          <w:rFonts w:ascii="Arial" w:hAnsi="Arial" w:cs="Arial"/>
          <w:sz w:val="20"/>
          <w:szCs w:val="20"/>
        </w:rPr>
        <w:t>(il faut plus de 30 mL de sang dans les urines</w:t>
      </w:r>
      <w:r w:rsidR="00C74CE2" w:rsidRPr="00857954">
        <w:rPr>
          <w:rFonts w:ascii="Arial" w:hAnsi="Arial" w:cs="Arial"/>
          <w:sz w:val="20"/>
          <w:szCs w:val="20"/>
        </w:rPr>
        <w:t xml:space="preserve"> pour expliquer une telle </w:t>
      </w:r>
      <w:r w:rsidRPr="00857954">
        <w:rPr>
          <w:rFonts w:ascii="Arial" w:hAnsi="Arial" w:cs="Arial"/>
          <w:sz w:val="20"/>
          <w:szCs w:val="20"/>
        </w:rPr>
        <w:t>protéinurie).</w:t>
      </w:r>
    </w:p>
    <w:p w:rsidR="0014610F" w:rsidRPr="00857954" w:rsidRDefault="0014610F" w:rsidP="0014610F">
      <w:pPr>
        <w:pStyle w:val="Paragraphedeliste"/>
        <w:numPr>
          <w:ilvl w:val="0"/>
          <w:numId w:val="1"/>
        </w:numPr>
        <w:rPr>
          <w:rFonts w:ascii="Arial" w:hAnsi="Arial" w:cs="Arial"/>
          <w:sz w:val="20"/>
          <w:szCs w:val="20"/>
        </w:rPr>
      </w:pPr>
      <w:r w:rsidRPr="00857954">
        <w:rPr>
          <w:rFonts w:ascii="Arial" w:hAnsi="Arial" w:cs="Arial"/>
          <w:b/>
          <w:bCs/>
          <w:i/>
          <w:iCs/>
          <w:sz w:val="20"/>
          <w:szCs w:val="20"/>
        </w:rPr>
        <w:t xml:space="preserve">L’évaluation de la fonction rénale </w:t>
      </w:r>
      <w:r w:rsidRPr="00857954">
        <w:rPr>
          <w:rFonts w:ascii="Arial" w:hAnsi="Arial" w:cs="Arial"/>
          <w:sz w:val="20"/>
          <w:szCs w:val="20"/>
        </w:rPr>
        <w:t>par le dosage de la</w:t>
      </w:r>
      <w:r w:rsidR="00C74CE2" w:rsidRPr="00857954">
        <w:rPr>
          <w:rFonts w:ascii="Arial" w:hAnsi="Arial" w:cs="Arial"/>
          <w:sz w:val="20"/>
          <w:szCs w:val="20"/>
        </w:rPr>
        <w:t xml:space="preserve"> </w:t>
      </w:r>
      <w:r w:rsidRPr="00857954">
        <w:rPr>
          <w:rFonts w:ascii="Arial" w:hAnsi="Arial" w:cs="Arial"/>
          <w:sz w:val="20"/>
          <w:szCs w:val="20"/>
        </w:rPr>
        <w:t>créatininémie est indispensable quelle que soit la cause</w:t>
      </w:r>
      <w:r w:rsidR="00C74CE2" w:rsidRPr="00857954">
        <w:rPr>
          <w:rFonts w:ascii="Arial" w:hAnsi="Arial" w:cs="Arial"/>
          <w:sz w:val="20"/>
          <w:szCs w:val="20"/>
        </w:rPr>
        <w:t xml:space="preserve"> </w:t>
      </w:r>
      <w:r w:rsidRPr="00857954">
        <w:rPr>
          <w:rFonts w:ascii="Arial" w:hAnsi="Arial" w:cs="Arial"/>
          <w:sz w:val="20"/>
          <w:szCs w:val="20"/>
        </w:rPr>
        <w:t>de l’hématurie. Une insuffisance rénale associée oriente</w:t>
      </w:r>
      <w:r w:rsidR="00C74CE2" w:rsidRPr="00857954">
        <w:rPr>
          <w:rFonts w:ascii="Arial" w:hAnsi="Arial" w:cs="Arial"/>
          <w:sz w:val="20"/>
          <w:szCs w:val="20"/>
        </w:rPr>
        <w:t xml:space="preserve"> </w:t>
      </w:r>
      <w:r w:rsidRPr="00857954">
        <w:rPr>
          <w:rFonts w:ascii="Arial" w:hAnsi="Arial" w:cs="Arial"/>
          <w:sz w:val="20"/>
          <w:szCs w:val="20"/>
        </w:rPr>
        <w:t>vers une glomérulonéphrite aiguë ou chronique.</w:t>
      </w:r>
    </w:p>
    <w:p w:rsidR="0014610F" w:rsidRPr="00857954" w:rsidRDefault="0014610F" w:rsidP="0014610F">
      <w:pPr>
        <w:pStyle w:val="Paragraphedeliste"/>
        <w:numPr>
          <w:ilvl w:val="0"/>
          <w:numId w:val="1"/>
        </w:numPr>
        <w:rPr>
          <w:rFonts w:ascii="Arial" w:hAnsi="Arial" w:cs="Arial"/>
          <w:sz w:val="20"/>
          <w:szCs w:val="20"/>
        </w:rPr>
      </w:pPr>
      <w:r w:rsidRPr="00857954">
        <w:rPr>
          <w:rFonts w:ascii="Arial" w:hAnsi="Arial" w:cs="Arial"/>
          <w:b/>
          <w:bCs/>
          <w:i/>
          <w:iCs/>
          <w:sz w:val="20"/>
          <w:szCs w:val="20"/>
        </w:rPr>
        <w:t xml:space="preserve">La cytologie urinaire </w:t>
      </w:r>
      <w:r w:rsidRPr="00857954">
        <w:rPr>
          <w:rFonts w:ascii="Arial" w:hAnsi="Arial" w:cs="Arial"/>
          <w:sz w:val="20"/>
          <w:szCs w:val="20"/>
        </w:rPr>
        <w:t>à la recherche de cellules néoplasiques</w:t>
      </w:r>
      <w:r w:rsidR="00C74CE2" w:rsidRPr="00857954">
        <w:rPr>
          <w:rFonts w:ascii="Arial" w:hAnsi="Arial" w:cs="Arial"/>
          <w:sz w:val="20"/>
          <w:szCs w:val="20"/>
        </w:rPr>
        <w:t xml:space="preserve"> </w:t>
      </w:r>
      <w:r w:rsidRPr="00857954">
        <w:rPr>
          <w:rFonts w:ascii="Arial" w:hAnsi="Arial" w:cs="Arial"/>
          <w:sz w:val="20"/>
          <w:szCs w:val="20"/>
        </w:rPr>
        <w:t>(rénales ou vésicales) est utile, notamment après 45 à 50 ans.</w:t>
      </w:r>
    </w:p>
    <w:p w:rsidR="0014610F" w:rsidRPr="00857954" w:rsidRDefault="0014610F" w:rsidP="0014610F">
      <w:pPr>
        <w:pStyle w:val="Paragraphedeliste"/>
        <w:numPr>
          <w:ilvl w:val="0"/>
          <w:numId w:val="1"/>
        </w:numPr>
        <w:rPr>
          <w:rFonts w:ascii="Arial" w:hAnsi="Arial" w:cs="Arial"/>
          <w:sz w:val="20"/>
          <w:szCs w:val="20"/>
        </w:rPr>
      </w:pPr>
      <w:r w:rsidRPr="00857954">
        <w:rPr>
          <w:rFonts w:ascii="Arial" w:hAnsi="Arial" w:cs="Arial"/>
          <w:b/>
          <w:bCs/>
          <w:i/>
          <w:iCs/>
          <w:sz w:val="20"/>
          <w:szCs w:val="20"/>
        </w:rPr>
        <w:t xml:space="preserve">En fonction de l’orientation initiale, </w:t>
      </w:r>
      <w:r w:rsidRPr="00857954">
        <w:rPr>
          <w:rFonts w:ascii="Arial" w:hAnsi="Arial" w:cs="Arial"/>
          <w:sz w:val="20"/>
          <w:szCs w:val="20"/>
        </w:rPr>
        <w:t>un certain nombre</w:t>
      </w:r>
      <w:r w:rsidR="00C74CE2" w:rsidRPr="00857954">
        <w:rPr>
          <w:rFonts w:ascii="Arial" w:hAnsi="Arial" w:cs="Arial"/>
          <w:sz w:val="20"/>
          <w:szCs w:val="20"/>
        </w:rPr>
        <w:t xml:space="preserve"> </w:t>
      </w:r>
      <w:r w:rsidRPr="00857954">
        <w:rPr>
          <w:rFonts w:ascii="Arial" w:hAnsi="Arial" w:cs="Arial"/>
          <w:sz w:val="20"/>
          <w:szCs w:val="20"/>
        </w:rPr>
        <w:t>d’autres examens seront prescrits (bilan métabolique s’il</w:t>
      </w:r>
      <w:r w:rsidR="00C74CE2" w:rsidRPr="00857954">
        <w:rPr>
          <w:rFonts w:ascii="Arial" w:hAnsi="Arial" w:cs="Arial"/>
          <w:sz w:val="20"/>
          <w:szCs w:val="20"/>
        </w:rPr>
        <w:t xml:space="preserve"> </w:t>
      </w:r>
      <w:r w:rsidRPr="00857954">
        <w:rPr>
          <w:rFonts w:ascii="Arial" w:hAnsi="Arial" w:cs="Arial"/>
          <w:sz w:val="20"/>
          <w:szCs w:val="20"/>
        </w:rPr>
        <w:t>y a une lithiase, bilan infectieux, bilan d’extension s’il y</w:t>
      </w:r>
      <w:r w:rsidR="00C74CE2" w:rsidRPr="00857954">
        <w:rPr>
          <w:rFonts w:ascii="Arial" w:hAnsi="Arial" w:cs="Arial"/>
          <w:sz w:val="20"/>
          <w:szCs w:val="20"/>
        </w:rPr>
        <w:t xml:space="preserve"> </w:t>
      </w:r>
      <w:r w:rsidRPr="00857954">
        <w:rPr>
          <w:rFonts w:ascii="Arial" w:hAnsi="Arial" w:cs="Arial"/>
          <w:sz w:val="20"/>
          <w:szCs w:val="20"/>
        </w:rPr>
        <w:t>a une tumeur).</w:t>
      </w:r>
    </w:p>
    <w:p w:rsidR="00BF431B" w:rsidRPr="00857954" w:rsidRDefault="00857954" w:rsidP="00857954">
      <w:pPr>
        <w:rPr>
          <w:rFonts w:ascii="Arial" w:hAnsi="Arial" w:cs="Arial"/>
          <w:sz w:val="20"/>
          <w:szCs w:val="20"/>
        </w:rPr>
      </w:pPr>
      <w:r w:rsidRPr="00857954">
        <w:rPr>
          <w:rFonts w:ascii="Arial" w:hAnsi="Arial" w:cs="Arial"/>
          <w:b/>
          <w:sz w:val="20"/>
          <w:szCs w:val="20"/>
          <w:u w:val="single"/>
        </w:rPr>
        <w:t xml:space="preserve">5- </w:t>
      </w:r>
      <w:r w:rsidR="00BF431B" w:rsidRPr="00857954">
        <w:rPr>
          <w:rFonts w:ascii="Arial" w:hAnsi="Arial" w:cs="Arial"/>
          <w:b/>
          <w:sz w:val="20"/>
          <w:szCs w:val="20"/>
          <w:u w:val="single"/>
        </w:rPr>
        <w:t>Examens de localisation :</w:t>
      </w:r>
      <w:r w:rsidR="00BF431B" w:rsidRPr="00857954">
        <w:rPr>
          <w:rFonts w:ascii="Arial" w:hAnsi="Arial" w:cs="Arial"/>
          <w:sz w:val="20"/>
          <w:szCs w:val="20"/>
        </w:rPr>
        <w:t xml:space="preserve"> La stratégie des examens complémentaires diffère selon les caractéristiques de l’hématurie et l’âge des patients. En l’absence de syndrome glomérulaire (hématurie avec cylindres et protéinurie), une cause urologique est privilégiée notamment chez le sujet âgé.</w:t>
      </w:r>
    </w:p>
    <w:p w:rsidR="00BF431B" w:rsidRPr="00857954" w:rsidRDefault="00BF431B" w:rsidP="00BF431B">
      <w:pPr>
        <w:pStyle w:val="Paragraphedeliste"/>
        <w:numPr>
          <w:ilvl w:val="0"/>
          <w:numId w:val="1"/>
        </w:numPr>
        <w:rPr>
          <w:rFonts w:ascii="Arial" w:hAnsi="Arial" w:cs="Arial"/>
          <w:sz w:val="20"/>
          <w:szCs w:val="20"/>
        </w:rPr>
      </w:pPr>
      <w:r w:rsidRPr="00857954">
        <w:rPr>
          <w:rFonts w:ascii="Arial" w:hAnsi="Arial" w:cs="Arial"/>
          <w:b/>
          <w:bCs/>
          <w:i/>
          <w:iCs/>
          <w:sz w:val="20"/>
          <w:szCs w:val="20"/>
        </w:rPr>
        <w:t xml:space="preserve">L’échographie </w:t>
      </w:r>
      <w:r w:rsidRPr="00857954">
        <w:rPr>
          <w:rFonts w:ascii="Arial" w:hAnsi="Arial" w:cs="Arial"/>
          <w:sz w:val="20"/>
          <w:szCs w:val="20"/>
        </w:rPr>
        <w:t>est actuellement proposée en première intention. Elle renseigne d’emblée sur la morphologie des reins, la présence de kystes, de lithiases, de masses tumorales. Elle donne aussi des indications sur une anomalie vésicale ou prostatique.</w:t>
      </w:r>
    </w:p>
    <w:p w:rsidR="00E627F9" w:rsidRPr="00857954" w:rsidRDefault="00BF431B" w:rsidP="00E627F9">
      <w:pPr>
        <w:pStyle w:val="Paragraphedeliste"/>
        <w:numPr>
          <w:ilvl w:val="0"/>
          <w:numId w:val="1"/>
        </w:numPr>
        <w:rPr>
          <w:rFonts w:ascii="Arial" w:hAnsi="Arial" w:cs="Arial"/>
          <w:sz w:val="20"/>
          <w:szCs w:val="20"/>
        </w:rPr>
      </w:pPr>
      <w:r w:rsidRPr="00857954">
        <w:rPr>
          <w:rFonts w:ascii="Arial" w:hAnsi="Arial" w:cs="Arial"/>
          <w:b/>
          <w:bCs/>
          <w:i/>
          <w:iCs/>
          <w:sz w:val="20"/>
          <w:szCs w:val="20"/>
        </w:rPr>
        <w:t xml:space="preserve">L’urographie intraveineuse </w:t>
      </w:r>
      <w:r w:rsidRPr="00857954">
        <w:rPr>
          <w:rFonts w:ascii="Arial" w:hAnsi="Arial" w:cs="Arial"/>
          <w:sz w:val="20"/>
          <w:szCs w:val="20"/>
        </w:rPr>
        <w:t>garde encore sa place pour rechercher une lithiase urétérale, identifier une</w:t>
      </w:r>
      <w:r w:rsidR="00E627F9" w:rsidRPr="00857954">
        <w:rPr>
          <w:rFonts w:ascii="Arial" w:hAnsi="Arial" w:cs="Arial"/>
          <w:sz w:val="20"/>
          <w:szCs w:val="20"/>
        </w:rPr>
        <w:t xml:space="preserve"> </w:t>
      </w:r>
      <w:r w:rsidRPr="00857954">
        <w:rPr>
          <w:rFonts w:ascii="Arial" w:hAnsi="Arial" w:cs="Arial"/>
          <w:sz w:val="20"/>
          <w:szCs w:val="20"/>
        </w:rPr>
        <w:t>malformation de l’arbre urinaire ou l’extension d’une</w:t>
      </w:r>
      <w:r w:rsidR="00E627F9" w:rsidRPr="00857954">
        <w:rPr>
          <w:rFonts w:ascii="Arial" w:hAnsi="Arial" w:cs="Arial"/>
          <w:sz w:val="20"/>
          <w:szCs w:val="20"/>
        </w:rPr>
        <w:t xml:space="preserve"> tuberculose urinaire et explorer le bas appareil. Elle est contre indiquée en cas d’allergie à l’iode ou d’insuffisance rénale.</w:t>
      </w:r>
    </w:p>
    <w:p w:rsidR="00E627F9" w:rsidRPr="00857954" w:rsidRDefault="00E627F9" w:rsidP="00E627F9">
      <w:pPr>
        <w:pStyle w:val="Paragraphedeliste"/>
        <w:numPr>
          <w:ilvl w:val="0"/>
          <w:numId w:val="1"/>
        </w:numPr>
        <w:rPr>
          <w:rFonts w:ascii="Arial" w:hAnsi="Arial" w:cs="Arial"/>
          <w:sz w:val="20"/>
          <w:szCs w:val="20"/>
        </w:rPr>
      </w:pPr>
      <w:r w:rsidRPr="00857954">
        <w:rPr>
          <w:rFonts w:ascii="Arial" w:hAnsi="Arial" w:cs="Arial"/>
          <w:sz w:val="20"/>
          <w:szCs w:val="20"/>
        </w:rPr>
        <w:t>Le scanner ou l’imagerie par résonance magnétique (IRM) et la cystoscopie sont proposés en seconde intention pour préciser les données de l’échographie ou en cas d’échec de l’échographie ou de l’UIV.</w:t>
      </w:r>
    </w:p>
    <w:p w:rsidR="00BF431B" w:rsidRDefault="00E627F9" w:rsidP="00E627F9">
      <w:pPr>
        <w:ind w:left="360"/>
        <w:rPr>
          <w:rFonts w:ascii="Arial" w:hAnsi="Arial" w:cs="Arial"/>
          <w:sz w:val="20"/>
          <w:szCs w:val="20"/>
        </w:rPr>
      </w:pPr>
      <w:r w:rsidRPr="00857954">
        <w:rPr>
          <w:rFonts w:ascii="Arial" w:hAnsi="Arial" w:cs="Arial"/>
          <w:b/>
          <w:bCs/>
          <w:i/>
          <w:iCs/>
          <w:sz w:val="20"/>
          <w:szCs w:val="20"/>
        </w:rPr>
        <w:t xml:space="preserve">• Au terme de ces examens, </w:t>
      </w:r>
      <w:r w:rsidRPr="00857954">
        <w:rPr>
          <w:rFonts w:ascii="Arial" w:hAnsi="Arial" w:cs="Arial"/>
          <w:sz w:val="20"/>
          <w:szCs w:val="20"/>
        </w:rPr>
        <w:t>une orientation vers une origine néphrologique (liée à une néphropathie glomérulaire ou tubulo-interstitielle aiguë) ou urologique (provenant des voies excrétrices ou d’une tumeur rénale) de l’hématurie permettra de dicter la suite de la démarche diagnostique</w:t>
      </w:r>
      <w:r w:rsidR="005A6BDD">
        <w:rPr>
          <w:rFonts w:ascii="Arial" w:hAnsi="Arial" w:cs="Arial"/>
          <w:sz w:val="20"/>
          <w:szCs w:val="20"/>
        </w:rPr>
        <w:t xml:space="preserve"> (voir tab 02 et arbre décisionnel)</w:t>
      </w:r>
      <w:r w:rsidRPr="00857954">
        <w:rPr>
          <w:rFonts w:ascii="Arial" w:hAnsi="Arial" w:cs="Arial"/>
          <w:sz w:val="20"/>
          <w:szCs w:val="20"/>
        </w:rPr>
        <w:t>.</w:t>
      </w:r>
    </w:p>
    <w:p w:rsidR="005932AE" w:rsidRDefault="005932AE" w:rsidP="00247F1D">
      <w:pPr>
        <w:ind w:left="360"/>
        <w:rPr>
          <w:rFonts w:ascii="Arial" w:hAnsi="Arial" w:cs="Arial"/>
          <w:sz w:val="20"/>
          <w:szCs w:val="20"/>
        </w:rPr>
      </w:pPr>
    </w:p>
    <w:p w:rsidR="005932AE" w:rsidRDefault="005932AE" w:rsidP="00247F1D">
      <w:pPr>
        <w:ind w:left="360"/>
        <w:rPr>
          <w:rFonts w:ascii="Arial" w:hAnsi="Arial" w:cs="Arial"/>
          <w:sz w:val="20"/>
          <w:szCs w:val="20"/>
        </w:rPr>
      </w:pPr>
    </w:p>
    <w:p w:rsidR="005932AE" w:rsidRDefault="005932AE" w:rsidP="00247F1D">
      <w:pPr>
        <w:ind w:left="360"/>
        <w:rPr>
          <w:rFonts w:ascii="Arial" w:hAnsi="Arial" w:cs="Arial"/>
          <w:sz w:val="20"/>
          <w:szCs w:val="20"/>
        </w:rPr>
      </w:pPr>
    </w:p>
    <w:p w:rsidR="005932AE" w:rsidRDefault="005932AE" w:rsidP="00247F1D">
      <w:pPr>
        <w:ind w:left="360"/>
        <w:rPr>
          <w:rFonts w:ascii="Arial" w:hAnsi="Arial" w:cs="Arial"/>
          <w:sz w:val="20"/>
          <w:szCs w:val="20"/>
        </w:rPr>
      </w:pPr>
      <w:r w:rsidRPr="005932AE">
        <w:rPr>
          <w:rFonts w:ascii="Arial" w:hAnsi="Arial" w:cs="Arial"/>
          <w:noProof/>
          <w:sz w:val="20"/>
          <w:szCs w:val="20"/>
          <w:lang w:eastAsia="fr-FR"/>
        </w:rPr>
        <w:drawing>
          <wp:inline distT="0" distB="0" distL="0" distR="0">
            <wp:extent cx="5760720" cy="2175519"/>
            <wp:effectExtent l="19050" t="0" r="0" b="0"/>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5760720" cy="2175519"/>
                    </a:xfrm>
                    <a:prstGeom prst="rect">
                      <a:avLst/>
                    </a:prstGeom>
                    <a:noFill/>
                    <a:ln w="9525">
                      <a:noFill/>
                      <a:miter lim="800000"/>
                      <a:headEnd/>
                      <a:tailEnd/>
                    </a:ln>
                  </pic:spPr>
                </pic:pic>
              </a:graphicData>
            </a:graphic>
          </wp:inline>
        </w:drawing>
      </w:r>
    </w:p>
    <w:p w:rsidR="00ED7200" w:rsidRDefault="005932AE" w:rsidP="005932AE">
      <w:pPr>
        <w:ind w:left="360"/>
        <w:jc w:val="center"/>
        <w:rPr>
          <w:rFonts w:ascii="Arial" w:hAnsi="Arial" w:cs="Arial"/>
          <w:noProof/>
          <w:sz w:val="20"/>
          <w:szCs w:val="20"/>
          <w:u w:val="single"/>
          <w:lang w:eastAsia="fr-FR"/>
        </w:rPr>
      </w:pPr>
      <w:r>
        <w:rPr>
          <w:rFonts w:ascii="Arial" w:hAnsi="Arial" w:cs="Arial"/>
          <w:noProof/>
          <w:sz w:val="20"/>
          <w:szCs w:val="20"/>
          <w:u w:val="single"/>
          <w:lang w:eastAsia="fr-FR"/>
        </w:rPr>
        <w:t xml:space="preserve">Tableau 01 : Chronologie de l’hématurie                                                             </w:t>
      </w:r>
    </w:p>
    <w:p w:rsidR="005932AE" w:rsidRPr="005932AE" w:rsidRDefault="005932AE" w:rsidP="00001E0E">
      <w:pPr>
        <w:rPr>
          <w:rFonts w:ascii="Arial" w:hAnsi="Arial" w:cs="Arial"/>
          <w:sz w:val="20"/>
          <w:szCs w:val="20"/>
          <w:u w:val="single"/>
        </w:rPr>
      </w:pPr>
    </w:p>
    <w:p w:rsidR="00871E95" w:rsidRDefault="00001E0E" w:rsidP="00ED7200">
      <w:pPr>
        <w:ind w:left="360"/>
        <w:rPr>
          <w:rFonts w:ascii="Arial" w:hAnsi="Arial" w:cs="Arial"/>
          <w:sz w:val="20"/>
          <w:szCs w:val="20"/>
        </w:rPr>
      </w:pPr>
      <w:r w:rsidRPr="00001E0E">
        <w:rPr>
          <w:rFonts w:ascii="Arial" w:hAnsi="Arial" w:cs="Arial"/>
          <w:noProof/>
          <w:sz w:val="20"/>
          <w:szCs w:val="20"/>
          <w:lang w:eastAsia="fr-FR"/>
        </w:rPr>
        <w:drawing>
          <wp:inline distT="0" distB="0" distL="0" distR="0">
            <wp:extent cx="4602480" cy="2026920"/>
            <wp:effectExtent l="19050" t="0" r="7620"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602480" cy="2026920"/>
                    </a:xfrm>
                    <a:prstGeom prst="rect">
                      <a:avLst/>
                    </a:prstGeom>
                    <a:noFill/>
                    <a:ln w="9525">
                      <a:noFill/>
                      <a:miter lim="800000"/>
                      <a:headEnd/>
                      <a:tailEnd/>
                    </a:ln>
                  </pic:spPr>
                </pic:pic>
              </a:graphicData>
            </a:graphic>
          </wp:inline>
        </w:drawing>
      </w:r>
    </w:p>
    <w:p w:rsidR="00871E95" w:rsidRDefault="00001E0E" w:rsidP="00001E0E">
      <w:pPr>
        <w:jc w:val="center"/>
        <w:rPr>
          <w:rFonts w:ascii="Arial" w:hAnsi="Arial" w:cs="Arial"/>
          <w:sz w:val="20"/>
          <w:szCs w:val="20"/>
          <w:u w:val="single"/>
        </w:rPr>
      </w:pPr>
      <w:r>
        <w:rPr>
          <w:rFonts w:ascii="Arial" w:hAnsi="Arial" w:cs="Arial"/>
          <w:sz w:val="20"/>
          <w:szCs w:val="20"/>
          <w:u w:val="single"/>
        </w:rPr>
        <w:t xml:space="preserve">Tableau 02 : </w:t>
      </w:r>
      <w:r w:rsidR="00871E95" w:rsidRPr="00871E95">
        <w:rPr>
          <w:rFonts w:ascii="Arial" w:hAnsi="Arial" w:cs="Arial"/>
          <w:sz w:val="20"/>
          <w:szCs w:val="20"/>
          <w:u w:val="single"/>
        </w:rPr>
        <w:t>Principaux éléments d’orientation permettant de distinguer une hématurie d’origine glomérulaire ou urologique</w:t>
      </w:r>
    </w:p>
    <w:p w:rsidR="005932AE" w:rsidRDefault="005A6BDD" w:rsidP="005A6BDD">
      <w:pPr>
        <w:ind w:left="360"/>
        <w:rPr>
          <w:rFonts w:ascii="Arial" w:hAnsi="Arial" w:cs="Arial"/>
          <w:sz w:val="20"/>
          <w:szCs w:val="20"/>
          <w:u w:val="single"/>
        </w:rPr>
      </w:pPr>
      <w:r w:rsidRPr="005A6BDD">
        <w:rPr>
          <w:rFonts w:ascii="Arial" w:hAnsi="Arial" w:cs="Arial"/>
          <w:noProof/>
          <w:sz w:val="20"/>
          <w:szCs w:val="20"/>
          <w:u w:val="single"/>
          <w:lang w:eastAsia="fr-FR"/>
        </w:rPr>
        <w:lastRenderedPageBreak/>
        <w:drawing>
          <wp:anchor distT="0" distB="0" distL="114300" distR="114300" simplePos="0" relativeHeight="251659264" behindDoc="0" locked="0" layoutInCell="1" allowOverlap="1">
            <wp:simplePos x="0" y="0"/>
            <wp:positionH relativeFrom="column">
              <wp:posOffset>224155</wp:posOffset>
            </wp:positionH>
            <wp:positionV relativeFrom="paragraph">
              <wp:posOffset>654685</wp:posOffset>
            </wp:positionV>
            <wp:extent cx="5756910" cy="4640580"/>
            <wp:effectExtent l="19050" t="0" r="0" b="0"/>
            <wp:wrapSquare wrapText="bothSides"/>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56910" cy="4640580"/>
                    </a:xfrm>
                    <a:prstGeom prst="rect">
                      <a:avLst/>
                    </a:prstGeom>
                    <a:noFill/>
                    <a:ln w="9525">
                      <a:noFill/>
                      <a:miter lim="800000"/>
                      <a:headEnd/>
                      <a:tailEnd/>
                    </a:ln>
                  </pic:spPr>
                </pic:pic>
              </a:graphicData>
            </a:graphic>
          </wp:anchor>
        </w:drawing>
      </w:r>
    </w:p>
    <w:p w:rsidR="005A6BDD" w:rsidRDefault="005A6BDD" w:rsidP="005A6BDD">
      <w:pPr>
        <w:ind w:left="360"/>
        <w:jc w:val="center"/>
        <w:rPr>
          <w:rFonts w:ascii="Arial" w:hAnsi="Arial" w:cs="Arial"/>
          <w:sz w:val="20"/>
          <w:szCs w:val="20"/>
          <w:u w:val="single"/>
        </w:rPr>
      </w:pPr>
    </w:p>
    <w:p w:rsidR="005A6BDD" w:rsidRDefault="005A6BDD" w:rsidP="005A6BDD">
      <w:pPr>
        <w:ind w:left="360"/>
        <w:jc w:val="center"/>
        <w:rPr>
          <w:rFonts w:ascii="Arial" w:hAnsi="Arial" w:cs="Arial"/>
          <w:sz w:val="20"/>
          <w:szCs w:val="20"/>
          <w:u w:val="single"/>
        </w:rPr>
      </w:pPr>
      <w:r>
        <w:rPr>
          <w:rFonts w:ascii="Arial" w:hAnsi="Arial" w:cs="Arial"/>
          <w:sz w:val="20"/>
          <w:szCs w:val="20"/>
          <w:u w:val="single"/>
        </w:rPr>
        <w:t>Arbre décisionnel : conduite à tenir devant une hématurie</w:t>
      </w:r>
    </w:p>
    <w:p w:rsidR="005A6BDD" w:rsidRDefault="005A6BDD" w:rsidP="005A6BDD">
      <w:pPr>
        <w:ind w:left="360"/>
        <w:jc w:val="center"/>
        <w:rPr>
          <w:rFonts w:ascii="Arial" w:hAnsi="Arial" w:cs="Arial"/>
          <w:sz w:val="20"/>
          <w:szCs w:val="20"/>
          <w:u w:val="single"/>
        </w:rPr>
      </w:pPr>
    </w:p>
    <w:sectPr w:rsidR="005A6BDD" w:rsidSect="002377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F97" w:rsidRDefault="009F6F97" w:rsidP="00871E95">
      <w:pPr>
        <w:spacing w:after="0" w:line="240" w:lineRule="auto"/>
      </w:pPr>
      <w:r>
        <w:separator/>
      </w:r>
    </w:p>
  </w:endnote>
  <w:endnote w:type="continuationSeparator" w:id="1">
    <w:p w:rsidR="009F6F97" w:rsidRDefault="009F6F97" w:rsidP="00871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F97" w:rsidRDefault="009F6F97" w:rsidP="00871E95">
      <w:pPr>
        <w:spacing w:after="0" w:line="240" w:lineRule="auto"/>
      </w:pPr>
      <w:r>
        <w:separator/>
      </w:r>
    </w:p>
  </w:footnote>
  <w:footnote w:type="continuationSeparator" w:id="1">
    <w:p w:rsidR="009F6F97" w:rsidRDefault="009F6F97" w:rsidP="00871E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91FB3"/>
    <w:multiLevelType w:val="hybridMultilevel"/>
    <w:tmpl w:val="99003DE4"/>
    <w:lvl w:ilvl="0" w:tplc="948A008E">
      <w:start w:val="1"/>
      <w:numFmt w:val="bullet"/>
      <w:lvlText w:val=""/>
      <w:lvlJc w:val="left"/>
      <w:pPr>
        <w:ind w:left="720" w:hanging="360"/>
      </w:pPr>
      <w:rPr>
        <w:rFonts w:ascii="Symbol" w:eastAsiaTheme="minorHAns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DA1AEF"/>
    <w:multiLevelType w:val="hybridMultilevel"/>
    <w:tmpl w:val="53E62548"/>
    <w:lvl w:ilvl="0" w:tplc="431ACE34">
      <w:start w:val="1"/>
      <w:numFmt w:val="bullet"/>
      <w:lvlText w:val="-"/>
      <w:lvlJc w:val="left"/>
      <w:pPr>
        <w:ind w:left="720" w:hanging="360"/>
      </w:pPr>
      <w:rPr>
        <w:rFonts w:ascii="Calibri" w:eastAsiaTheme="minorHAnsi" w:hAnsi="Calibri"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DC0C2A"/>
    <w:multiLevelType w:val="hybridMultilevel"/>
    <w:tmpl w:val="F47CD0E6"/>
    <w:lvl w:ilvl="0" w:tplc="3444968C">
      <w:start w:val="3"/>
      <w:numFmt w:val="bullet"/>
      <w:lvlText w:val=""/>
      <w:lvlJc w:val="left"/>
      <w:pPr>
        <w:ind w:left="720" w:hanging="360"/>
      </w:pPr>
      <w:rPr>
        <w:rFonts w:ascii="Symbol" w:eastAsiaTheme="minorHAns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0"/>
    <w:footnote w:id="1"/>
  </w:footnotePr>
  <w:endnotePr>
    <w:endnote w:id="0"/>
    <w:endnote w:id="1"/>
  </w:endnotePr>
  <w:compat/>
  <w:rsids>
    <w:rsidRoot w:val="001502BB"/>
    <w:rsid w:val="00001E0E"/>
    <w:rsid w:val="00087D0B"/>
    <w:rsid w:val="0012637E"/>
    <w:rsid w:val="00140998"/>
    <w:rsid w:val="0014610F"/>
    <w:rsid w:val="001502BB"/>
    <w:rsid w:val="001A0864"/>
    <w:rsid w:val="001F49FF"/>
    <w:rsid w:val="00237722"/>
    <w:rsid w:val="00242DB2"/>
    <w:rsid w:val="00247F1D"/>
    <w:rsid w:val="00274690"/>
    <w:rsid w:val="002D677D"/>
    <w:rsid w:val="00334E05"/>
    <w:rsid w:val="003F51CA"/>
    <w:rsid w:val="0044576F"/>
    <w:rsid w:val="004A2CE8"/>
    <w:rsid w:val="004F1F5A"/>
    <w:rsid w:val="005932AE"/>
    <w:rsid w:val="005A6BDD"/>
    <w:rsid w:val="006D3CAD"/>
    <w:rsid w:val="00710F0A"/>
    <w:rsid w:val="007B387A"/>
    <w:rsid w:val="007C141F"/>
    <w:rsid w:val="00857954"/>
    <w:rsid w:val="00871E95"/>
    <w:rsid w:val="00904727"/>
    <w:rsid w:val="009F6F97"/>
    <w:rsid w:val="00A20C9A"/>
    <w:rsid w:val="00B367C0"/>
    <w:rsid w:val="00B674F7"/>
    <w:rsid w:val="00BF431B"/>
    <w:rsid w:val="00C74CE2"/>
    <w:rsid w:val="00C95295"/>
    <w:rsid w:val="00D462E6"/>
    <w:rsid w:val="00E627F9"/>
    <w:rsid w:val="00ED72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4727"/>
    <w:pPr>
      <w:ind w:left="720"/>
      <w:contextualSpacing/>
    </w:pPr>
  </w:style>
  <w:style w:type="paragraph" w:styleId="Textedebulles">
    <w:name w:val="Balloon Text"/>
    <w:basedOn w:val="Normal"/>
    <w:link w:val="TextedebullesCar"/>
    <w:uiPriority w:val="99"/>
    <w:semiHidden/>
    <w:unhideWhenUsed/>
    <w:rsid w:val="00ED72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7200"/>
    <w:rPr>
      <w:rFonts w:ascii="Tahoma" w:hAnsi="Tahoma" w:cs="Tahoma"/>
      <w:sz w:val="16"/>
      <w:szCs w:val="16"/>
    </w:rPr>
  </w:style>
  <w:style w:type="paragraph" w:styleId="En-tte">
    <w:name w:val="header"/>
    <w:basedOn w:val="Normal"/>
    <w:link w:val="En-tteCar"/>
    <w:uiPriority w:val="99"/>
    <w:semiHidden/>
    <w:unhideWhenUsed/>
    <w:rsid w:val="00871E9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71E95"/>
  </w:style>
  <w:style w:type="paragraph" w:styleId="Pieddepage">
    <w:name w:val="footer"/>
    <w:basedOn w:val="Normal"/>
    <w:link w:val="PieddepageCar"/>
    <w:uiPriority w:val="99"/>
    <w:semiHidden/>
    <w:unhideWhenUsed/>
    <w:rsid w:val="00871E9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71E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1</Pages>
  <Words>938</Words>
  <Characters>5161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7</cp:revision>
  <dcterms:created xsi:type="dcterms:W3CDTF">2014-11-18T09:59:00Z</dcterms:created>
  <dcterms:modified xsi:type="dcterms:W3CDTF">2015-02-12T09:55:00Z</dcterms:modified>
</cp:coreProperties>
</file>