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wmf" ContentType="image/x-wmf"/>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EE5" w:rsidRDefault="00E02EE5" w:rsidP="00E02EE5">
      <w:pPr>
        <w:jc w:val="center"/>
        <w:rPr>
          <w:b/>
          <w:bCs/>
          <w:sz w:val="24"/>
          <w:szCs w:val="24"/>
        </w:rPr>
      </w:pPr>
      <w:r w:rsidRPr="00D234F5">
        <w:rPr>
          <w:b/>
          <w:bCs/>
          <w:sz w:val="24"/>
          <w:szCs w:val="24"/>
          <w:highlight w:val="yellow"/>
        </w:rPr>
        <w:t>LES DERIVES HYDROXYANTHRACENIQUES LAXATIFS</w:t>
      </w:r>
    </w:p>
    <w:p w:rsidR="00E02EE5" w:rsidRDefault="00E02EE5" w:rsidP="00E02EE5">
      <w:pPr>
        <w:rPr>
          <w:b/>
          <w:bCs/>
          <w:sz w:val="24"/>
          <w:szCs w:val="24"/>
          <w:u w:val="single"/>
        </w:rPr>
      </w:pPr>
      <w:r w:rsidRPr="00E02EE5">
        <w:rPr>
          <w:b/>
          <w:bCs/>
          <w:sz w:val="24"/>
          <w:szCs w:val="24"/>
          <w:u w:val="single"/>
        </w:rPr>
        <w:t>1) Définition :</w:t>
      </w:r>
    </w:p>
    <w:p w:rsidR="00E02EE5" w:rsidRDefault="00E02EE5" w:rsidP="00E02EE5">
      <w:pPr>
        <w:jc w:val="both"/>
      </w:pPr>
      <w:r w:rsidRPr="00E02EE5">
        <w:t xml:space="preserve">Les dérivés hydroxyanthracéniques ou les </w:t>
      </w:r>
      <w:r w:rsidRPr="00E02EE5">
        <w:rPr>
          <w:b/>
          <w:bCs/>
        </w:rPr>
        <w:t>anthracénosides</w:t>
      </w:r>
      <w:r w:rsidRPr="00E02EE5">
        <w:t xml:space="preserve"> sont des composés phénoliques hétérosidiques dérivant de l’anthracène à degré d’oxydation variable (anthrone, anthranol et anthraquinone) doués de propriétés laxatives à faible dose et purgatives à dose élevée.</w:t>
      </w:r>
    </w:p>
    <w:p w:rsidR="00C231B6" w:rsidRDefault="001176CF" w:rsidP="004E6CEB">
      <w:pPr>
        <w:jc w:val="center"/>
      </w:pPr>
      <w:r>
        <w:rPr>
          <w:noProof/>
          <w:lang w:eastAsia="fr-FR"/>
        </w:rPr>
        <w:pict>
          <v:shapetype id="_x0000_t202" coordsize="21600,21600" o:spt="202" path="m,l,21600r21600,l21600,xe">
            <v:stroke joinstyle="miter"/>
            <v:path gradientshapeok="t" o:connecttype="rect"/>
          </v:shapetype>
          <v:shape id="_x0000_s1026" type="#_x0000_t202" style="position:absolute;left:0;text-align:left;margin-left:176.8pt;margin-top:59.15pt;width:105.75pt;height:26.25pt;z-index:251658240" filled="f" stroked="f">
            <v:textbox>
              <w:txbxContent>
                <w:p w:rsidR="00836379" w:rsidRPr="004E6CEB" w:rsidRDefault="00836379" w:rsidP="00C231B6">
                  <w:pPr>
                    <w:jc w:val="center"/>
                    <w:rPr>
                      <w:b/>
                      <w:bCs/>
                      <w:color w:val="FF0000"/>
                      <w:sz w:val="20"/>
                      <w:szCs w:val="20"/>
                    </w:rPr>
                  </w:pPr>
                  <w:r w:rsidRPr="004E6CEB">
                    <w:rPr>
                      <w:b/>
                      <w:bCs/>
                      <w:color w:val="FF0000"/>
                      <w:sz w:val="20"/>
                      <w:szCs w:val="20"/>
                    </w:rPr>
                    <w:t xml:space="preserve">Anthracène </w:t>
                  </w:r>
                </w:p>
              </w:txbxContent>
            </v:textbox>
          </v:shape>
        </w:pict>
      </w:r>
      <w:r w:rsidR="004E6CEB">
        <w:object w:dxaOrig="2655" w:dyaOrig="1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65.25pt" o:ole="">
            <v:imagedata r:id="rId8" o:title=""/>
          </v:shape>
          <o:OLEObject Type="Embed" ProgID="ISISServer" ShapeID="_x0000_i1025" DrawAspect="Content" ObjectID="_1487960945" r:id="rId9"/>
        </w:object>
      </w:r>
    </w:p>
    <w:p w:rsidR="005134B6" w:rsidRDefault="00C231B6" w:rsidP="00C231B6">
      <w:pPr>
        <w:jc w:val="both"/>
        <w:rPr>
          <w:b/>
          <w:bCs/>
          <w:sz w:val="24"/>
          <w:szCs w:val="24"/>
          <w:u w:val="single"/>
        </w:rPr>
      </w:pPr>
      <w:r w:rsidRPr="00C231B6">
        <w:rPr>
          <w:b/>
          <w:bCs/>
          <w:sz w:val="24"/>
          <w:szCs w:val="24"/>
          <w:u w:val="single"/>
        </w:rPr>
        <w:t>2) Répartition botanique et localisation :</w:t>
      </w:r>
    </w:p>
    <w:p w:rsidR="00C231B6" w:rsidRDefault="005134B6" w:rsidP="005134B6">
      <w:pPr>
        <w:jc w:val="both"/>
      </w:pPr>
      <w:r>
        <w:t>Leur d</w:t>
      </w:r>
      <w:r w:rsidR="00B00939">
        <w:t>istribution est très restreinte</w:t>
      </w:r>
      <w:r>
        <w:t>, on les rencontre dans quelques familles d’Angiospermes : Liliacées (aloès), Polygonacées (rhubarbe), Rhamnacées (bourdaine et cascara), Fabacées (Séné).</w:t>
      </w:r>
    </w:p>
    <w:p w:rsidR="005134B6" w:rsidRDefault="005134B6" w:rsidP="005134B6">
      <w:pPr>
        <w:jc w:val="both"/>
      </w:pPr>
      <w:r>
        <w:t>Ces substances se localisent dans la plus part des organes : feuilles, fruits, écorces et racines.</w:t>
      </w:r>
    </w:p>
    <w:p w:rsidR="005134B6" w:rsidRPr="005134B6" w:rsidRDefault="005134B6" w:rsidP="005134B6">
      <w:pPr>
        <w:jc w:val="both"/>
        <w:rPr>
          <w:b/>
          <w:bCs/>
          <w:u w:val="single"/>
        </w:rPr>
      </w:pPr>
      <w:r w:rsidRPr="005134B6">
        <w:rPr>
          <w:b/>
          <w:bCs/>
          <w:sz w:val="24"/>
          <w:szCs w:val="24"/>
          <w:u w:val="single"/>
        </w:rPr>
        <w:t>3) Structures chimiques et classification :</w:t>
      </w:r>
    </w:p>
    <w:p w:rsidR="005134B6" w:rsidRDefault="005134B6" w:rsidP="005134B6">
      <w:pPr>
        <w:jc w:val="both"/>
      </w:pPr>
      <w:r>
        <w:t>Les anthracénosides sont formés d’une génine et d’une partie osidique :</w:t>
      </w:r>
    </w:p>
    <w:p w:rsidR="005134B6" w:rsidRDefault="005134B6" w:rsidP="005134B6">
      <w:pPr>
        <w:pStyle w:val="Paragraphedeliste"/>
        <w:numPr>
          <w:ilvl w:val="0"/>
          <w:numId w:val="1"/>
        </w:numPr>
        <w:jc w:val="both"/>
      </w:pPr>
      <w:r w:rsidRPr="00B16580">
        <w:rPr>
          <w:b/>
          <w:bCs/>
        </w:rPr>
        <w:t>Génines (formes libres)</w:t>
      </w:r>
      <w:r w:rsidR="003A5E08">
        <w:t> : dérivés phénoliques de l’anthracène</w:t>
      </w:r>
      <w:r w:rsidR="00B16580">
        <w:t xml:space="preserve"> à divers degrés d’oxydation</w:t>
      </w:r>
    </w:p>
    <w:p w:rsidR="00B16580" w:rsidRDefault="001176CF" w:rsidP="00B16580">
      <w:pPr>
        <w:jc w:val="center"/>
      </w:pPr>
      <w:r>
        <w:rPr>
          <w:noProof/>
          <w:lang w:eastAsia="fr-FR"/>
        </w:rPr>
        <w:pict>
          <v:shape id="_x0000_s1028" type="#_x0000_t202" style="position:absolute;left:0;text-align:left;margin-left:150.4pt;margin-top:87.05pt;width:177.75pt;height:29.25pt;z-index:251660288" filled="f" stroked="f">
            <v:textbox>
              <w:txbxContent>
                <w:p w:rsidR="00836379" w:rsidRPr="00B16580" w:rsidRDefault="00836379" w:rsidP="00B16580">
                  <w:pPr>
                    <w:jc w:val="center"/>
                    <w:rPr>
                      <w:sz w:val="20"/>
                      <w:szCs w:val="20"/>
                    </w:rPr>
                  </w:pPr>
                  <w:r w:rsidRPr="00B16580">
                    <w:rPr>
                      <w:sz w:val="20"/>
                      <w:szCs w:val="20"/>
                    </w:rPr>
                    <w:t xml:space="preserve">(Forme </w:t>
                  </w:r>
                  <w:r>
                    <w:rPr>
                      <w:sz w:val="20"/>
                      <w:szCs w:val="20"/>
                    </w:rPr>
                    <w:t>partiellement réduite incolore)</w:t>
                  </w:r>
                </w:p>
              </w:txbxContent>
            </v:textbox>
          </v:shape>
        </w:pict>
      </w:r>
      <w:r>
        <w:rPr>
          <w:noProof/>
          <w:lang w:eastAsia="fr-FR"/>
        </w:rPr>
        <w:pict>
          <v:shape id="_x0000_s1027" type="#_x0000_t202" style="position:absolute;left:0;text-align:left;margin-left:-14.6pt;margin-top:88.55pt;width:160.5pt;height:31.5pt;z-index:251659264" filled="f" stroked="f">
            <v:textbox>
              <w:txbxContent>
                <w:p w:rsidR="00836379" w:rsidRPr="00B16580" w:rsidRDefault="00836379" w:rsidP="00B16580">
                  <w:pPr>
                    <w:jc w:val="center"/>
                    <w:rPr>
                      <w:sz w:val="20"/>
                      <w:szCs w:val="20"/>
                    </w:rPr>
                  </w:pPr>
                  <w:r w:rsidRPr="00B16580">
                    <w:rPr>
                      <w:sz w:val="20"/>
                      <w:szCs w:val="20"/>
                    </w:rPr>
                    <w:t>(Forme réduite brune)</w:t>
                  </w:r>
                </w:p>
              </w:txbxContent>
            </v:textbox>
          </v:shape>
        </w:pict>
      </w:r>
      <w:r>
        <w:rPr>
          <w:noProof/>
          <w:lang w:eastAsia="fr-FR"/>
        </w:rPr>
        <w:pict>
          <v:shape id="_x0000_s1029" type="#_x0000_t202" style="position:absolute;left:0;text-align:left;margin-left:310.15pt;margin-top:97.55pt;width:160.5pt;height:31.5pt;z-index:251661312" filled="f" stroked="f">
            <v:textbox>
              <w:txbxContent>
                <w:p w:rsidR="00836379" w:rsidRPr="00B16580" w:rsidRDefault="00836379" w:rsidP="00B16580">
                  <w:pPr>
                    <w:jc w:val="center"/>
                    <w:rPr>
                      <w:sz w:val="20"/>
                      <w:szCs w:val="20"/>
                    </w:rPr>
                  </w:pPr>
                  <w:r w:rsidRPr="00B16580">
                    <w:rPr>
                      <w:sz w:val="20"/>
                      <w:szCs w:val="20"/>
                    </w:rPr>
                    <w:t xml:space="preserve">(Forme </w:t>
                  </w:r>
                  <w:r>
                    <w:rPr>
                      <w:sz w:val="20"/>
                      <w:szCs w:val="20"/>
                    </w:rPr>
                    <w:t>oxydée rouge</w:t>
                  </w:r>
                  <w:r w:rsidRPr="00B16580">
                    <w:rPr>
                      <w:sz w:val="20"/>
                      <w:szCs w:val="20"/>
                    </w:rPr>
                    <w:t>)</w:t>
                  </w:r>
                </w:p>
              </w:txbxContent>
            </v:textbox>
          </v:shape>
        </w:pict>
      </w:r>
      <w:r w:rsidR="00B16580">
        <w:object w:dxaOrig="9285" w:dyaOrig="2189">
          <v:shape id="_x0000_i1026" type="#_x0000_t75" style="width:429pt;height:101.25pt" o:ole="">
            <v:imagedata r:id="rId10" o:title=""/>
          </v:shape>
          <o:OLEObject Type="Embed" ProgID="ISISServer" ShapeID="_x0000_i1026" DrawAspect="Content" ObjectID="_1487960946" r:id="rId11"/>
        </w:object>
      </w:r>
    </w:p>
    <w:p w:rsidR="003905D3" w:rsidRDefault="003905D3" w:rsidP="00B16580">
      <w:pPr>
        <w:jc w:val="both"/>
        <w:rPr>
          <w:b/>
          <w:bCs/>
        </w:rPr>
      </w:pPr>
    </w:p>
    <w:p w:rsidR="003905D3" w:rsidRPr="003905D3" w:rsidRDefault="004E6CEB" w:rsidP="00B16580">
      <w:pPr>
        <w:jc w:val="both"/>
      </w:pPr>
      <w:r>
        <w:t>L</w:t>
      </w:r>
      <w:r w:rsidR="003905D3">
        <w:t>es formes anthrone</w:t>
      </w:r>
      <w:r>
        <w:t>s et anthranols représentent les « </w:t>
      </w:r>
      <w:r w:rsidRPr="004E6CEB">
        <w:rPr>
          <w:b/>
          <w:bCs/>
        </w:rPr>
        <w:t>formes réduites</w:t>
      </w:r>
      <w:r>
        <w:t> » et les formes  anthraquinoniques les « </w:t>
      </w:r>
      <w:r w:rsidRPr="004E6CEB">
        <w:rPr>
          <w:b/>
          <w:bCs/>
        </w:rPr>
        <w:t>formes oxydées</w:t>
      </w:r>
      <w:r>
        <w:t> »</w:t>
      </w:r>
    </w:p>
    <w:p w:rsidR="00B16580" w:rsidRDefault="00B16580" w:rsidP="004E6CEB">
      <w:pPr>
        <w:jc w:val="both"/>
      </w:pPr>
      <w:r w:rsidRPr="00B16580">
        <w:rPr>
          <w:b/>
          <w:bCs/>
        </w:rPr>
        <w:t>Autres formes</w:t>
      </w:r>
      <w:r>
        <w:t xml:space="preserve"> : les dianthrones </w:t>
      </w:r>
      <w:r w:rsidR="004E6CEB">
        <w:t xml:space="preserve"> </w:t>
      </w:r>
      <w:r w:rsidR="003905D3">
        <w:t xml:space="preserve"> </w:t>
      </w:r>
      <w:r>
        <w:t>et oxanthrones</w:t>
      </w:r>
    </w:p>
    <w:p w:rsidR="00B16580" w:rsidRDefault="00B16580" w:rsidP="003905D3">
      <w:pPr>
        <w:jc w:val="center"/>
      </w:pPr>
      <w:r>
        <w:object w:dxaOrig="2295" w:dyaOrig="3375">
          <v:shape id="_x0000_i1027" type="#_x0000_t75" style="width:80.25pt;height:118.5pt" o:ole="">
            <v:imagedata r:id="rId12" o:title=""/>
          </v:shape>
          <o:OLEObject Type="Embed" ProgID="ISISServer" ShapeID="_x0000_i1027" DrawAspect="Content" ObjectID="_1487960947" r:id="rId13"/>
        </w:object>
      </w:r>
      <w:r w:rsidR="003905D3">
        <w:t xml:space="preserve">             </w:t>
      </w:r>
      <w:r w:rsidR="003905D3">
        <w:object w:dxaOrig="2295" w:dyaOrig="2130">
          <v:shape id="_x0000_i1028" type="#_x0000_t75" style="width:93.75pt;height:87pt" o:ole="">
            <v:imagedata r:id="rId14" o:title=""/>
          </v:shape>
          <o:OLEObject Type="Embed" ProgID="ISISServer" ShapeID="_x0000_i1028" DrawAspect="Content" ObjectID="_1487960948" r:id="rId15"/>
        </w:object>
      </w:r>
    </w:p>
    <w:p w:rsidR="003905D3" w:rsidRPr="004E6CEB" w:rsidRDefault="004E6CEB" w:rsidP="003905D3">
      <w:pPr>
        <w:jc w:val="both"/>
        <w:rPr>
          <w:b/>
          <w:bCs/>
          <w:u w:val="single"/>
        </w:rPr>
      </w:pPr>
      <w:r w:rsidRPr="004E6CEB">
        <w:rPr>
          <w:b/>
          <w:bCs/>
          <w:u w:val="single"/>
        </w:rPr>
        <w:lastRenderedPageBreak/>
        <w:t>Exemples de génines libres :</w:t>
      </w:r>
    </w:p>
    <w:tbl>
      <w:tblPr>
        <w:tblStyle w:val="Grilledutableau"/>
        <w:tblpPr w:leftFromText="141" w:rightFromText="141" w:vertAnchor="text" w:horzAnchor="page" w:tblpX="5158" w:tblpY="978"/>
        <w:tblW w:w="0" w:type="auto"/>
        <w:tblLook w:val="04A0"/>
      </w:tblPr>
      <w:tblGrid>
        <w:gridCol w:w="2235"/>
        <w:gridCol w:w="992"/>
        <w:gridCol w:w="892"/>
      </w:tblGrid>
      <w:tr w:rsidR="00D811E0" w:rsidTr="00D811E0">
        <w:trPr>
          <w:trHeight w:val="256"/>
        </w:trPr>
        <w:tc>
          <w:tcPr>
            <w:tcW w:w="2235" w:type="dxa"/>
          </w:tcPr>
          <w:p w:rsidR="00D811E0" w:rsidRDefault="00D811E0" w:rsidP="00D811E0">
            <w:pPr>
              <w:jc w:val="center"/>
            </w:pPr>
            <w:r>
              <w:t>génines</w:t>
            </w:r>
          </w:p>
        </w:tc>
        <w:tc>
          <w:tcPr>
            <w:tcW w:w="992" w:type="dxa"/>
          </w:tcPr>
          <w:p w:rsidR="00D811E0" w:rsidRDefault="00D811E0" w:rsidP="00D811E0">
            <w:pPr>
              <w:jc w:val="center"/>
            </w:pPr>
            <w:r>
              <w:t>R</w:t>
            </w:r>
          </w:p>
        </w:tc>
        <w:tc>
          <w:tcPr>
            <w:tcW w:w="892" w:type="dxa"/>
          </w:tcPr>
          <w:p w:rsidR="00D811E0" w:rsidRDefault="00D811E0" w:rsidP="00D811E0">
            <w:pPr>
              <w:jc w:val="center"/>
            </w:pPr>
            <w:r>
              <w:t>R’</w:t>
            </w:r>
          </w:p>
        </w:tc>
      </w:tr>
      <w:tr w:rsidR="00D811E0" w:rsidTr="00D811E0">
        <w:trPr>
          <w:trHeight w:val="241"/>
        </w:trPr>
        <w:tc>
          <w:tcPr>
            <w:tcW w:w="2235" w:type="dxa"/>
          </w:tcPr>
          <w:p w:rsidR="00D811E0" w:rsidRPr="00EB0E65" w:rsidRDefault="00D811E0" w:rsidP="00D811E0">
            <w:pPr>
              <w:jc w:val="center"/>
              <w:rPr>
                <w:b/>
                <w:bCs/>
                <w:color w:val="C00000"/>
              </w:rPr>
            </w:pPr>
            <w:r w:rsidRPr="00EB0E65">
              <w:rPr>
                <w:b/>
                <w:bCs/>
                <w:color w:val="C00000"/>
              </w:rPr>
              <w:t>Chrysophanol</w:t>
            </w:r>
            <w:r>
              <w:rPr>
                <w:b/>
                <w:bCs/>
                <w:color w:val="C00000"/>
              </w:rPr>
              <w:t xml:space="preserve"> </w:t>
            </w:r>
          </w:p>
        </w:tc>
        <w:tc>
          <w:tcPr>
            <w:tcW w:w="992" w:type="dxa"/>
          </w:tcPr>
          <w:p w:rsidR="00D811E0" w:rsidRDefault="00D811E0" w:rsidP="00D811E0">
            <w:pPr>
              <w:jc w:val="center"/>
            </w:pPr>
            <w:r>
              <w:t>CH3</w:t>
            </w:r>
          </w:p>
        </w:tc>
        <w:tc>
          <w:tcPr>
            <w:tcW w:w="892" w:type="dxa"/>
          </w:tcPr>
          <w:p w:rsidR="00D811E0" w:rsidRDefault="00D811E0" w:rsidP="00D811E0">
            <w:pPr>
              <w:jc w:val="center"/>
            </w:pPr>
            <w:r>
              <w:t>H</w:t>
            </w:r>
          </w:p>
        </w:tc>
      </w:tr>
      <w:tr w:rsidR="00D811E0" w:rsidTr="00D811E0">
        <w:trPr>
          <w:trHeight w:val="256"/>
        </w:trPr>
        <w:tc>
          <w:tcPr>
            <w:tcW w:w="2235" w:type="dxa"/>
          </w:tcPr>
          <w:p w:rsidR="00D811E0" w:rsidRPr="00EB0E65" w:rsidRDefault="00D811E0" w:rsidP="00D811E0">
            <w:pPr>
              <w:jc w:val="center"/>
              <w:rPr>
                <w:b/>
                <w:bCs/>
                <w:color w:val="C00000"/>
              </w:rPr>
            </w:pPr>
            <w:r w:rsidRPr="00EB0E65">
              <w:rPr>
                <w:b/>
                <w:bCs/>
                <w:color w:val="C00000"/>
              </w:rPr>
              <w:t>Aloe-émodol</w:t>
            </w:r>
          </w:p>
        </w:tc>
        <w:tc>
          <w:tcPr>
            <w:tcW w:w="992" w:type="dxa"/>
          </w:tcPr>
          <w:p w:rsidR="00D811E0" w:rsidRDefault="00D811E0" w:rsidP="00D811E0">
            <w:pPr>
              <w:jc w:val="center"/>
            </w:pPr>
            <w:r>
              <w:t>CH2OH</w:t>
            </w:r>
          </w:p>
        </w:tc>
        <w:tc>
          <w:tcPr>
            <w:tcW w:w="892" w:type="dxa"/>
          </w:tcPr>
          <w:p w:rsidR="00D811E0" w:rsidRDefault="00D811E0" w:rsidP="00D811E0">
            <w:pPr>
              <w:jc w:val="center"/>
            </w:pPr>
            <w:r>
              <w:t>H</w:t>
            </w:r>
          </w:p>
        </w:tc>
      </w:tr>
      <w:tr w:rsidR="00D811E0" w:rsidTr="00D811E0">
        <w:trPr>
          <w:trHeight w:val="256"/>
        </w:trPr>
        <w:tc>
          <w:tcPr>
            <w:tcW w:w="2235" w:type="dxa"/>
          </w:tcPr>
          <w:p w:rsidR="00D811E0" w:rsidRPr="00EB0E65" w:rsidRDefault="00D811E0" w:rsidP="00D811E0">
            <w:pPr>
              <w:jc w:val="center"/>
              <w:rPr>
                <w:b/>
                <w:bCs/>
                <w:color w:val="C00000"/>
              </w:rPr>
            </w:pPr>
            <w:r w:rsidRPr="00EB0E65">
              <w:rPr>
                <w:b/>
                <w:bCs/>
                <w:color w:val="C00000"/>
              </w:rPr>
              <w:t>Rhéine</w:t>
            </w:r>
          </w:p>
        </w:tc>
        <w:tc>
          <w:tcPr>
            <w:tcW w:w="992" w:type="dxa"/>
          </w:tcPr>
          <w:p w:rsidR="00D811E0" w:rsidRDefault="00D811E0" w:rsidP="00D811E0">
            <w:pPr>
              <w:jc w:val="center"/>
            </w:pPr>
            <w:r>
              <w:t>COOH</w:t>
            </w:r>
          </w:p>
        </w:tc>
        <w:tc>
          <w:tcPr>
            <w:tcW w:w="892" w:type="dxa"/>
          </w:tcPr>
          <w:p w:rsidR="00D811E0" w:rsidRDefault="00D811E0" w:rsidP="00D811E0">
            <w:pPr>
              <w:jc w:val="center"/>
            </w:pPr>
            <w:r>
              <w:t>H</w:t>
            </w:r>
          </w:p>
        </w:tc>
      </w:tr>
      <w:tr w:rsidR="00D811E0" w:rsidTr="00D811E0">
        <w:trPr>
          <w:trHeight w:val="241"/>
        </w:trPr>
        <w:tc>
          <w:tcPr>
            <w:tcW w:w="2235" w:type="dxa"/>
          </w:tcPr>
          <w:p w:rsidR="00D811E0" w:rsidRPr="00EB0E65" w:rsidRDefault="00D811E0" w:rsidP="00D811E0">
            <w:pPr>
              <w:jc w:val="center"/>
              <w:rPr>
                <w:b/>
                <w:bCs/>
                <w:color w:val="C00000"/>
              </w:rPr>
            </w:pPr>
            <w:r w:rsidRPr="00EB0E65">
              <w:rPr>
                <w:b/>
                <w:bCs/>
                <w:color w:val="C00000"/>
              </w:rPr>
              <w:t>Emodol</w:t>
            </w:r>
          </w:p>
        </w:tc>
        <w:tc>
          <w:tcPr>
            <w:tcW w:w="992" w:type="dxa"/>
          </w:tcPr>
          <w:p w:rsidR="00D811E0" w:rsidRDefault="00D811E0" w:rsidP="00D811E0">
            <w:pPr>
              <w:jc w:val="center"/>
            </w:pPr>
            <w:r>
              <w:t>CH3</w:t>
            </w:r>
          </w:p>
        </w:tc>
        <w:tc>
          <w:tcPr>
            <w:tcW w:w="892" w:type="dxa"/>
          </w:tcPr>
          <w:p w:rsidR="00D811E0" w:rsidRDefault="00D811E0" w:rsidP="00D811E0">
            <w:pPr>
              <w:jc w:val="center"/>
            </w:pPr>
            <w:r>
              <w:t>OH</w:t>
            </w:r>
          </w:p>
        </w:tc>
      </w:tr>
      <w:tr w:rsidR="00D811E0" w:rsidTr="00D811E0">
        <w:trPr>
          <w:trHeight w:val="256"/>
        </w:trPr>
        <w:tc>
          <w:tcPr>
            <w:tcW w:w="2235" w:type="dxa"/>
          </w:tcPr>
          <w:p w:rsidR="00D811E0" w:rsidRPr="00EB0E65" w:rsidRDefault="00D811E0" w:rsidP="00D811E0">
            <w:pPr>
              <w:jc w:val="center"/>
              <w:rPr>
                <w:b/>
                <w:bCs/>
                <w:color w:val="C00000"/>
              </w:rPr>
            </w:pPr>
            <w:r w:rsidRPr="00EB0E65">
              <w:rPr>
                <w:b/>
                <w:bCs/>
                <w:color w:val="C00000"/>
              </w:rPr>
              <w:t>Physcion</w:t>
            </w:r>
          </w:p>
        </w:tc>
        <w:tc>
          <w:tcPr>
            <w:tcW w:w="992" w:type="dxa"/>
          </w:tcPr>
          <w:p w:rsidR="00D811E0" w:rsidRDefault="00D811E0" w:rsidP="00D811E0">
            <w:pPr>
              <w:jc w:val="center"/>
            </w:pPr>
            <w:r>
              <w:t>CH3</w:t>
            </w:r>
          </w:p>
        </w:tc>
        <w:tc>
          <w:tcPr>
            <w:tcW w:w="892" w:type="dxa"/>
          </w:tcPr>
          <w:p w:rsidR="00D811E0" w:rsidRDefault="00D811E0" w:rsidP="00D811E0">
            <w:pPr>
              <w:jc w:val="center"/>
            </w:pPr>
            <w:r>
              <w:t>OCH3</w:t>
            </w:r>
          </w:p>
        </w:tc>
      </w:tr>
    </w:tbl>
    <w:p w:rsidR="004E6CEB" w:rsidRDefault="00D811E0" w:rsidP="00EB0E65">
      <w:pPr>
        <w:pStyle w:val="Paragraphedeliste"/>
        <w:numPr>
          <w:ilvl w:val="0"/>
          <w:numId w:val="2"/>
        </w:numPr>
        <w:jc w:val="both"/>
      </w:pPr>
      <w:r w:rsidRPr="00EB0E65">
        <w:rPr>
          <w:b/>
          <w:bCs/>
        </w:rPr>
        <w:t xml:space="preserve"> </w:t>
      </w:r>
      <w:r w:rsidR="004E6CEB" w:rsidRPr="00EB0E65">
        <w:rPr>
          <w:b/>
          <w:bCs/>
        </w:rPr>
        <w:t xml:space="preserve">Formes anthraquinoniques monomères : </w:t>
      </w:r>
      <w:r w:rsidR="00EB0E65">
        <w:t xml:space="preserve">Ce sont des dérivés </w:t>
      </w:r>
      <w:r w:rsidR="004E6CEB">
        <w:t xml:space="preserve"> toujours substitués en </w:t>
      </w:r>
      <w:r w:rsidR="004E6CEB" w:rsidRPr="00EB0E65">
        <w:rPr>
          <w:b/>
          <w:bCs/>
        </w:rPr>
        <w:t>3</w:t>
      </w:r>
      <w:r w:rsidR="004E6CEB">
        <w:t xml:space="preserve"> par un reste carboné et en </w:t>
      </w:r>
      <w:r w:rsidR="004E6CEB" w:rsidRPr="00EB0E65">
        <w:rPr>
          <w:b/>
          <w:bCs/>
        </w:rPr>
        <w:t>1</w:t>
      </w:r>
      <w:r w:rsidR="004E6CEB">
        <w:t xml:space="preserve"> et </w:t>
      </w:r>
      <w:r w:rsidR="004E6CEB" w:rsidRPr="00EB0E65">
        <w:rPr>
          <w:b/>
          <w:bCs/>
        </w:rPr>
        <w:t>8</w:t>
      </w:r>
      <w:r w:rsidR="004E6CEB">
        <w:t xml:space="preserve"> par un hydroxyle</w:t>
      </w:r>
    </w:p>
    <w:p w:rsidR="004E6CEB" w:rsidRDefault="001176CF" w:rsidP="004E6CEB">
      <w:r>
        <w:rPr>
          <w:noProof/>
          <w:lang w:eastAsia="fr-FR"/>
        </w:rPr>
        <w:pict>
          <v:shape id="_x0000_s1032" type="#_x0000_t202" style="position:absolute;margin-left:8.9pt;margin-top:31.7pt;width:18.75pt;height:23.85pt;z-index:251663360" filled="f" stroked="f">
            <v:textbox>
              <w:txbxContent>
                <w:p w:rsidR="00836379" w:rsidRPr="00EB0E65" w:rsidRDefault="00836379" w:rsidP="00EB0E65">
                  <w:pPr>
                    <w:rPr>
                      <w:b/>
                      <w:bCs/>
                      <w:color w:val="C00000"/>
                    </w:rPr>
                  </w:pPr>
                  <w:r>
                    <w:rPr>
                      <w:b/>
                      <w:bCs/>
                      <w:color w:val="C00000"/>
                    </w:rPr>
                    <w:t>6</w:t>
                  </w:r>
                </w:p>
              </w:txbxContent>
            </v:textbox>
          </v:shape>
        </w:pict>
      </w:r>
      <w:r>
        <w:rPr>
          <w:noProof/>
          <w:lang w:eastAsia="fr-FR"/>
        </w:rPr>
        <w:pict>
          <v:shape id="_x0000_s1031" type="#_x0000_t202" style="position:absolute;margin-left:100.15pt;margin-top:30.95pt;width:18.75pt;height:23.85pt;z-index:251662336" filled="f" stroked="f">
            <v:textbox>
              <w:txbxContent>
                <w:p w:rsidR="00836379" w:rsidRPr="00EB0E65" w:rsidRDefault="00836379">
                  <w:pPr>
                    <w:rPr>
                      <w:b/>
                      <w:bCs/>
                      <w:color w:val="C00000"/>
                    </w:rPr>
                  </w:pPr>
                  <w:r w:rsidRPr="00EB0E65">
                    <w:rPr>
                      <w:b/>
                      <w:bCs/>
                      <w:color w:val="C00000"/>
                    </w:rPr>
                    <w:t>3</w:t>
                  </w:r>
                </w:p>
              </w:txbxContent>
            </v:textbox>
          </v:shape>
        </w:pict>
      </w:r>
      <w:r w:rsidR="004E6CEB">
        <w:object w:dxaOrig="3360" w:dyaOrig="2235">
          <v:shape id="_x0000_i1029" type="#_x0000_t75" style="width:135.75pt;height:90pt" o:ole="">
            <v:imagedata r:id="rId16" o:title=""/>
          </v:shape>
          <o:OLEObject Type="Embed" ProgID="ISISServer" ShapeID="_x0000_i1029" DrawAspect="Content" ObjectID="_1487960949" r:id="rId17"/>
        </w:object>
      </w:r>
    </w:p>
    <w:p w:rsidR="006945BD" w:rsidRPr="004E6CEB" w:rsidRDefault="006945BD" w:rsidP="001D3B82">
      <w:pPr>
        <w:jc w:val="both"/>
      </w:pPr>
      <w:r w:rsidRPr="001D3B82">
        <w:rPr>
          <w:b/>
          <w:bCs/>
          <w:i/>
          <w:iCs/>
          <w:color w:val="C00000"/>
        </w:rPr>
        <w:t>Remarque</w:t>
      </w:r>
      <w:r>
        <w:t> :</w:t>
      </w:r>
      <w:r w:rsidR="001D3B82">
        <w:t xml:space="preserve"> Les formes anthrones et anthranols sont extrêmement instables et pour cette raison, on ne trouve pas de formes réduites  libres dans les drogues (rares), le plus souvent les formes libres </w:t>
      </w:r>
      <w:r w:rsidR="00B00939">
        <w:t>sont de nature anthraquinonique</w:t>
      </w:r>
      <w:r w:rsidR="001D3B82">
        <w:t xml:space="preserve">. </w:t>
      </w:r>
    </w:p>
    <w:p w:rsidR="004E6CEB" w:rsidRDefault="00EB0E65" w:rsidP="00EB0E65">
      <w:pPr>
        <w:pStyle w:val="Paragraphedeliste"/>
        <w:numPr>
          <w:ilvl w:val="0"/>
          <w:numId w:val="2"/>
        </w:numPr>
        <w:jc w:val="both"/>
      </w:pPr>
      <w:r w:rsidRPr="00EB0E65">
        <w:rPr>
          <w:b/>
          <w:bCs/>
        </w:rPr>
        <w:t>Formes dianthrones dimères</w:t>
      </w:r>
      <w:r>
        <w:t xml:space="preserve"> : dans certaines conditions les anthrones peuvent se combiner </w:t>
      </w:r>
      <w:r w:rsidR="006945BD">
        <w:t xml:space="preserve">pour former des dianthrones (forme d’oxydation intermédiaire), si les dimères sont identiques on parle de </w:t>
      </w:r>
      <w:r w:rsidR="006945BD" w:rsidRPr="006945BD">
        <w:rPr>
          <w:b/>
          <w:bCs/>
        </w:rPr>
        <w:t>homodianthrones</w:t>
      </w:r>
      <w:r>
        <w:t xml:space="preserve"> </w:t>
      </w:r>
      <w:r w:rsidR="006945BD">
        <w:t xml:space="preserve">si ils sont différents </w:t>
      </w:r>
      <w:r w:rsidR="006945BD" w:rsidRPr="006945BD">
        <w:rPr>
          <w:b/>
          <w:bCs/>
        </w:rPr>
        <w:t>hétérodianthrones</w:t>
      </w:r>
      <w:r w:rsidR="006945BD">
        <w:t>.</w:t>
      </w:r>
    </w:p>
    <w:p w:rsidR="006945BD" w:rsidRDefault="006945BD" w:rsidP="006945BD">
      <w:pPr>
        <w:pStyle w:val="Paragraphedeliste"/>
        <w:ind w:left="360"/>
        <w:jc w:val="both"/>
        <w:rPr>
          <w:b/>
          <w:bCs/>
        </w:rPr>
      </w:pPr>
    </w:p>
    <w:p w:rsidR="006945BD" w:rsidRDefault="00F21E0A" w:rsidP="00F21E0A">
      <w:pPr>
        <w:pStyle w:val="Paragraphedeliste"/>
        <w:ind w:left="360"/>
        <w:jc w:val="center"/>
        <w:rPr>
          <w:b/>
          <w:bCs/>
        </w:rPr>
      </w:pPr>
      <w:r>
        <w:object w:dxaOrig="3195" w:dyaOrig="3645">
          <v:shape id="_x0000_i1030" type="#_x0000_t75" style="width:123pt;height:140.25pt" o:ole="">
            <v:imagedata r:id="rId18" o:title=""/>
          </v:shape>
          <o:OLEObject Type="Embed" ProgID="ISISServer" ShapeID="_x0000_i1030" DrawAspect="Content" ObjectID="_1487960950" r:id="rId19"/>
        </w:object>
      </w:r>
      <w:r>
        <w:t xml:space="preserve">              </w:t>
      </w:r>
      <w:r>
        <w:object w:dxaOrig="3269" w:dyaOrig="3660">
          <v:shape id="_x0000_i1031" type="#_x0000_t75" style="width:125.25pt;height:140.25pt" o:ole="">
            <v:imagedata r:id="rId20" o:title=""/>
          </v:shape>
          <o:OLEObject Type="Embed" ProgID="ISISServer" ShapeID="_x0000_i1031" DrawAspect="Content" ObjectID="_1487960951" r:id="rId21"/>
        </w:object>
      </w:r>
    </w:p>
    <w:p w:rsidR="006945BD" w:rsidRPr="004E6CEB" w:rsidRDefault="00A84E85" w:rsidP="006945BD">
      <w:pPr>
        <w:pStyle w:val="Paragraphedeliste"/>
        <w:ind w:left="360"/>
        <w:jc w:val="both"/>
      </w:pPr>
      <w:r>
        <w:t xml:space="preserve">  </w:t>
      </w:r>
    </w:p>
    <w:p w:rsidR="001D3B82" w:rsidRDefault="00B16580" w:rsidP="005134B6">
      <w:pPr>
        <w:pStyle w:val="Paragraphedeliste"/>
        <w:numPr>
          <w:ilvl w:val="0"/>
          <w:numId w:val="1"/>
        </w:numPr>
        <w:jc w:val="both"/>
        <w:rPr>
          <w:b/>
          <w:bCs/>
        </w:rPr>
      </w:pPr>
      <w:r w:rsidRPr="00B16580">
        <w:rPr>
          <w:b/>
          <w:bCs/>
        </w:rPr>
        <w:t>Hétérosides (formes combinées) :</w:t>
      </w:r>
    </w:p>
    <w:p w:rsidR="00B16580" w:rsidRDefault="001D3B82" w:rsidP="001D3B82">
      <w:r>
        <w:t xml:space="preserve">Du faite de l’instabilité des formes réduites, elles n’existent que sous formes combinées </w:t>
      </w:r>
    </w:p>
    <w:p w:rsidR="001D3B82" w:rsidRDefault="001D3B82" w:rsidP="001D3B82">
      <w:r w:rsidRPr="001D3B82">
        <w:rPr>
          <w:u w:val="single"/>
        </w:rPr>
        <w:t>Les oses</w:t>
      </w:r>
      <w:r>
        <w:t> : ce sont des oses banals (rhamnose, glucose, apiose…)</w:t>
      </w:r>
    </w:p>
    <w:p w:rsidR="001D3B82" w:rsidRDefault="001D3B82" w:rsidP="001D3B82">
      <w:r w:rsidRPr="001D3B82">
        <w:rPr>
          <w:u w:val="single"/>
        </w:rPr>
        <w:t>Liaison Ose-Génine</w:t>
      </w:r>
      <w:r>
        <w:t> : elle peut être :</w:t>
      </w:r>
    </w:p>
    <w:p w:rsidR="001D3B82" w:rsidRDefault="001D3B82" w:rsidP="001D3B82">
      <w:pPr>
        <w:pStyle w:val="Paragraphedeliste"/>
        <w:numPr>
          <w:ilvl w:val="0"/>
          <w:numId w:val="3"/>
        </w:numPr>
      </w:pPr>
      <w:r w:rsidRPr="001D3B82">
        <w:rPr>
          <w:b/>
          <w:bCs/>
        </w:rPr>
        <w:t>O-hétérosides </w:t>
      </w:r>
      <w:r>
        <w:t>: la liaison avec la génine engage le OH en 8 ou le OH en 6</w:t>
      </w:r>
    </w:p>
    <w:p w:rsidR="001D3B82" w:rsidRDefault="001D3B82" w:rsidP="001D3B82">
      <w:pPr>
        <w:pStyle w:val="Paragraphedeliste"/>
      </w:pPr>
      <w:r>
        <w:object w:dxaOrig="3794" w:dyaOrig="2220">
          <v:shape id="_x0000_i1032" type="#_x0000_t75" style="width:146.25pt;height:85.5pt" o:ole="">
            <v:imagedata r:id="rId22" o:title=""/>
          </v:shape>
          <o:OLEObject Type="Embed" ProgID="ISISServer" ShapeID="_x0000_i1032" DrawAspect="Content" ObjectID="_1487960952" r:id="rId23"/>
        </w:object>
      </w:r>
      <w:r>
        <w:t xml:space="preserve"> </w:t>
      </w:r>
      <w:r w:rsidR="00A84E85">
        <w:t xml:space="preserve">          </w:t>
      </w:r>
      <w:r w:rsidR="00A84E85">
        <w:object w:dxaOrig="3794" w:dyaOrig="2310">
          <v:shape id="_x0000_i1033" type="#_x0000_t75" style="width:159.75pt;height:97.5pt" o:ole="">
            <v:imagedata r:id="rId24" o:title=""/>
          </v:shape>
          <o:OLEObject Type="Embed" ProgID="ISISServer" ShapeID="_x0000_i1033" DrawAspect="Content" ObjectID="_1487960953" r:id="rId25"/>
        </w:object>
      </w:r>
    </w:p>
    <w:p w:rsidR="00A84E85" w:rsidRDefault="00A84E85" w:rsidP="001D3B82">
      <w:pPr>
        <w:pStyle w:val="Paragraphedeliste"/>
      </w:pPr>
    </w:p>
    <w:p w:rsidR="00A84E85" w:rsidRDefault="00A84E85" w:rsidP="00A84E85">
      <w:pPr>
        <w:pStyle w:val="Paragraphedeliste"/>
        <w:numPr>
          <w:ilvl w:val="0"/>
          <w:numId w:val="3"/>
        </w:numPr>
      </w:pPr>
      <w:r w:rsidRPr="00A84E85">
        <w:rPr>
          <w:b/>
          <w:bCs/>
        </w:rPr>
        <w:t>C-hétérosides</w:t>
      </w:r>
      <w:r>
        <w:t> : la liaison s’établie avec le C1 du glucose et le C10 de la génine</w:t>
      </w:r>
    </w:p>
    <w:p w:rsidR="00A84E85" w:rsidRDefault="00A84E85" w:rsidP="00A84E85">
      <w:pPr>
        <w:ind w:firstLine="708"/>
        <w:jc w:val="center"/>
      </w:pPr>
      <w:r>
        <w:object w:dxaOrig="3255" w:dyaOrig="2160">
          <v:shape id="_x0000_i1034" type="#_x0000_t75" style="width:137.25pt;height:91.5pt" o:ole="">
            <v:imagedata r:id="rId26" o:title=""/>
          </v:shape>
          <o:OLEObject Type="Embed" ProgID="ISISServer" ShapeID="_x0000_i1034" DrawAspect="Content" ObjectID="_1487960954" r:id="rId27"/>
        </w:object>
      </w:r>
    </w:p>
    <w:p w:rsidR="00D811E0" w:rsidRDefault="0096147C" w:rsidP="0096147C">
      <w:pPr>
        <w:pStyle w:val="Paragraphedeliste"/>
        <w:numPr>
          <w:ilvl w:val="0"/>
          <w:numId w:val="3"/>
        </w:numPr>
        <w:jc w:val="both"/>
      </w:pPr>
      <w:r w:rsidRPr="0096147C">
        <w:rPr>
          <w:b/>
          <w:bCs/>
        </w:rPr>
        <w:t>O-hétérosides de C-hétérosides</w:t>
      </w:r>
      <w:r>
        <w:t xml:space="preserve"> : les C-hétérosides peuvent </w:t>
      </w:r>
      <w:r w:rsidR="00EF66BE">
        <w:t>être</w:t>
      </w:r>
      <w:r w:rsidR="00D811E0">
        <w:t xml:space="preserve"> simultanément des </w:t>
      </w:r>
    </w:p>
    <w:p w:rsidR="0096147C" w:rsidRDefault="00D811E0" w:rsidP="00D811E0">
      <w:pPr>
        <w:pStyle w:val="Paragraphedeliste"/>
        <w:jc w:val="both"/>
      </w:pPr>
      <w:r>
        <w:t>O-h</w:t>
      </w:r>
      <w:r w:rsidR="0096147C">
        <w:t>étérosides, ce sont des hétérosides mixtes</w:t>
      </w:r>
    </w:p>
    <w:p w:rsidR="00EF66BE" w:rsidRDefault="0096147C" w:rsidP="0096147C">
      <w:pPr>
        <w:pStyle w:val="Paragraphedeliste"/>
        <w:jc w:val="center"/>
      </w:pPr>
      <w:r>
        <w:object w:dxaOrig="3360" w:dyaOrig="2250">
          <v:shape id="_x0000_i1035" type="#_x0000_t75" style="width:138pt;height:92.25pt" o:ole="">
            <v:imagedata r:id="rId28" o:title=""/>
          </v:shape>
          <o:OLEObject Type="Embed" ProgID="ISISServer" ShapeID="_x0000_i1035" DrawAspect="Content" ObjectID="_1487960955" r:id="rId29"/>
        </w:object>
      </w:r>
    </w:p>
    <w:p w:rsidR="0096147C" w:rsidRDefault="00EF66BE" w:rsidP="00EF66BE">
      <w:pPr>
        <w:ind w:firstLine="708"/>
        <w:jc w:val="both"/>
      </w:pPr>
      <w:r w:rsidRPr="00EF66BE">
        <w:rPr>
          <w:b/>
          <w:bCs/>
          <w:i/>
          <w:iCs/>
          <w:color w:val="C00000"/>
        </w:rPr>
        <w:t>Remarque</w:t>
      </w:r>
      <w:r>
        <w:t> : il y a une différence de composition entre la plante fraiche et la drogue sèche :</w:t>
      </w:r>
    </w:p>
    <w:p w:rsidR="00EF66BE" w:rsidRDefault="00EF66BE" w:rsidP="00EF66BE">
      <w:pPr>
        <w:pStyle w:val="Paragraphedeliste"/>
        <w:numPr>
          <w:ilvl w:val="0"/>
          <w:numId w:val="4"/>
        </w:numPr>
        <w:jc w:val="both"/>
      </w:pPr>
      <w:r>
        <w:t>Dans la plante fraiche, on trouve majoritairement les formes combinées réduites (hétérosides d’anthrones monomères)</w:t>
      </w:r>
    </w:p>
    <w:p w:rsidR="00EF66BE" w:rsidRDefault="00EF66BE" w:rsidP="00EF66BE">
      <w:pPr>
        <w:pStyle w:val="Paragraphedeliste"/>
        <w:numPr>
          <w:ilvl w:val="0"/>
          <w:numId w:val="4"/>
        </w:numPr>
        <w:jc w:val="both"/>
      </w:pPr>
      <w:r>
        <w:t>Dans la drogue sèche au cours de la dessiccation 2 processus de transformation interviennent :</w:t>
      </w:r>
    </w:p>
    <w:p w:rsidR="00EF66BE" w:rsidRDefault="00EF66BE" w:rsidP="00EF66BE">
      <w:pPr>
        <w:pStyle w:val="Paragraphedeliste"/>
        <w:ind w:left="1428"/>
        <w:jc w:val="both"/>
      </w:pPr>
      <w:r>
        <w:t xml:space="preserve">    </w:t>
      </w:r>
      <w:r w:rsidRPr="00EF66BE">
        <w:rPr>
          <w:b/>
          <w:bCs/>
        </w:rPr>
        <w:t>Oxydation</w:t>
      </w:r>
      <w:r>
        <w:t>, qui conduit aux hétérosides anthraquinoniques (Bourdaine)</w:t>
      </w:r>
    </w:p>
    <w:p w:rsidR="00D234F5" w:rsidRDefault="00EF66BE" w:rsidP="00EF66BE">
      <w:pPr>
        <w:pStyle w:val="Paragraphedeliste"/>
        <w:ind w:left="1428"/>
        <w:jc w:val="both"/>
      </w:pPr>
      <w:r>
        <w:t xml:space="preserve">    </w:t>
      </w:r>
      <w:r w:rsidRPr="00EF66BE">
        <w:rPr>
          <w:b/>
          <w:bCs/>
        </w:rPr>
        <w:t>Dimérisation</w:t>
      </w:r>
      <w:r>
        <w:t>, qui engendre des hétérosides de dianthrones (Séné)</w:t>
      </w:r>
    </w:p>
    <w:p w:rsidR="00D234F5" w:rsidRDefault="00D234F5" w:rsidP="00D234F5">
      <w:pPr>
        <w:rPr>
          <w:b/>
          <w:bCs/>
          <w:sz w:val="24"/>
          <w:szCs w:val="24"/>
          <w:u w:val="single"/>
        </w:rPr>
      </w:pPr>
      <w:r w:rsidRPr="00D234F5">
        <w:rPr>
          <w:b/>
          <w:bCs/>
          <w:sz w:val="24"/>
          <w:szCs w:val="24"/>
          <w:u w:val="single"/>
        </w:rPr>
        <w:t>4) propriétés physico-chimiques, extraction, caractérisation et dosage :</w:t>
      </w:r>
    </w:p>
    <w:p w:rsidR="00EF66BE" w:rsidRDefault="000C1DB6" w:rsidP="00D234F5">
      <w:pPr>
        <w:rPr>
          <w:sz w:val="24"/>
          <w:szCs w:val="24"/>
        </w:rPr>
      </w:pPr>
      <w:r w:rsidRPr="00892EC6">
        <w:rPr>
          <w:b/>
          <w:bCs/>
          <w:u w:val="single"/>
        </w:rPr>
        <w:t>A) P</w:t>
      </w:r>
      <w:r w:rsidR="00D234F5" w:rsidRPr="00892EC6">
        <w:rPr>
          <w:b/>
          <w:bCs/>
          <w:u w:val="single"/>
        </w:rPr>
        <w:t>ropriétés physico-chimiques</w:t>
      </w:r>
      <w:r w:rsidR="00D234F5" w:rsidRPr="00892EC6">
        <w:t> </w:t>
      </w:r>
      <w:r w:rsidR="00D234F5">
        <w:rPr>
          <w:sz w:val="24"/>
          <w:szCs w:val="24"/>
        </w:rPr>
        <w:t>:</w:t>
      </w:r>
    </w:p>
    <w:p w:rsidR="00D234F5" w:rsidRDefault="00D234F5" w:rsidP="004B327C">
      <w:pPr>
        <w:pStyle w:val="Paragraphedeliste"/>
        <w:numPr>
          <w:ilvl w:val="0"/>
          <w:numId w:val="5"/>
        </w:numPr>
        <w:jc w:val="both"/>
        <w:rPr>
          <w:sz w:val="24"/>
          <w:szCs w:val="24"/>
        </w:rPr>
      </w:pPr>
      <w:r>
        <w:rPr>
          <w:sz w:val="24"/>
          <w:szCs w:val="24"/>
        </w:rPr>
        <w:t>Les génines anthraquinoniques sont des composés solides dont la couleur varie du jaune orangée au rouge. Ils sont très peu solubles dans l’eau froide mais solubles dans les solvants organiques apolaires (chloroforme, éther) et l’alcool.</w:t>
      </w:r>
    </w:p>
    <w:p w:rsidR="00D234F5" w:rsidRDefault="00D234F5" w:rsidP="004B327C">
      <w:pPr>
        <w:pStyle w:val="Paragraphedeliste"/>
        <w:numPr>
          <w:ilvl w:val="0"/>
          <w:numId w:val="5"/>
        </w:numPr>
        <w:jc w:val="both"/>
        <w:rPr>
          <w:sz w:val="24"/>
          <w:szCs w:val="24"/>
        </w:rPr>
      </w:pPr>
      <w:r>
        <w:rPr>
          <w:sz w:val="24"/>
          <w:szCs w:val="24"/>
        </w:rPr>
        <w:t xml:space="preserve">Les hétérosides sont souvent bien cristallisés de coloration nettement plus pale que les génines correspondantes. Ils sont solubles dans l’eau chaude et les </w:t>
      </w:r>
      <w:r w:rsidR="004B327C">
        <w:rPr>
          <w:sz w:val="24"/>
          <w:szCs w:val="24"/>
        </w:rPr>
        <w:t>solutions hydro-alcooliques et insolubles dans les solvants organiques apolaires.</w:t>
      </w:r>
    </w:p>
    <w:p w:rsidR="00D234F5" w:rsidRDefault="004B327C" w:rsidP="004B327C">
      <w:pPr>
        <w:pStyle w:val="Paragraphedeliste"/>
        <w:numPr>
          <w:ilvl w:val="0"/>
          <w:numId w:val="5"/>
        </w:numPr>
        <w:jc w:val="both"/>
        <w:rPr>
          <w:sz w:val="24"/>
          <w:szCs w:val="24"/>
        </w:rPr>
      </w:pPr>
      <w:r>
        <w:rPr>
          <w:sz w:val="24"/>
          <w:szCs w:val="24"/>
        </w:rPr>
        <w:t>L’hydrolyse des O-hétérosides est obtenue par traitement en milieu acide fort dilué avec ébullition.</w:t>
      </w:r>
    </w:p>
    <w:p w:rsidR="000C1DB6" w:rsidRDefault="004B327C" w:rsidP="004B327C">
      <w:pPr>
        <w:pStyle w:val="Paragraphedeliste"/>
        <w:numPr>
          <w:ilvl w:val="0"/>
          <w:numId w:val="5"/>
        </w:numPr>
        <w:jc w:val="both"/>
        <w:rPr>
          <w:sz w:val="24"/>
          <w:szCs w:val="24"/>
        </w:rPr>
      </w:pPr>
      <w:r>
        <w:rPr>
          <w:sz w:val="24"/>
          <w:szCs w:val="24"/>
        </w:rPr>
        <w:t>L’hydrolyse des C-hétérosides est obtenue par traitement en milieu acide fort dilué</w:t>
      </w:r>
      <w:r w:rsidRPr="004B327C">
        <w:rPr>
          <w:sz w:val="24"/>
          <w:szCs w:val="24"/>
        </w:rPr>
        <w:t xml:space="preserve"> </w:t>
      </w:r>
      <w:r>
        <w:rPr>
          <w:sz w:val="24"/>
          <w:szCs w:val="24"/>
        </w:rPr>
        <w:t>avec ébullition et en présence d’un oxydant (FeCl3).</w:t>
      </w:r>
    </w:p>
    <w:p w:rsidR="00DF75C7" w:rsidRDefault="00DF75C7" w:rsidP="000C1DB6">
      <w:pPr>
        <w:jc w:val="both"/>
        <w:rPr>
          <w:b/>
          <w:bCs/>
          <w:u w:val="single"/>
        </w:rPr>
      </w:pPr>
    </w:p>
    <w:p w:rsidR="00DF75C7" w:rsidRDefault="00DF75C7" w:rsidP="000C1DB6">
      <w:pPr>
        <w:jc w:val="both"/>
        <w:rPr>
          <w:b/>
          <w:bCs/>
          <w:u w:val="single"/>
        </w:rPr>
      </w:pPr>
    </w:p>
    <w:p w:rsidR="00DF75C7" w:rsidRDefault="00DF75C7" w:rsidP="000C1DB6">
      <w:pPr>
        <w:jc w:val="both"/>
        <w:rPr>
          <w:b/>
          <w:bCs/>
          <w:u w:val="single"/>
        </w:rPr>
      </w:pPr>
    </w:p>
    <w:p w:rsidR="000C1DB6" w:rsidRDefault="000C1DB6" w:rsidP="000C1DB6">
      <w:pPr>
        <w:jc w:val="both"/>
      </w:pPr>
      <w:r w:rsidRPr="00892EC6">
        <w:rPr>
          <w:b/>
          <w:bCs/>
          <w:u w:val="single"/>
        </w:rPr>
        <w:lastRenderedPageBreak/>
        <w:t>B) Extraction</w:t>
      </w:r>
      <w:r>
        <w:t> :</w:t>
      </w:r>
    </w:p>
    <w:p w:rsidR="0032072D" w:rsidRDefault="001176CF" w:rsidP="000C1DB6">
      <w:pPr>
        <w:jc w:val="both"/>
      </w:pPr>
      <w:r>
        <w:rPr>
          <w:noProof/>
          <w:lang w:eastAsia="fr-FR"/>
        </w:rPr>
        <w:pict>
          <v:shape id="_x0000_s1047" type="#_x0000_t202" style="position:absolute;left:0;text-align:left;margin-left:165.4pt;margin-top:158.65pt;width:166.5pt;height:52.5pt;z-index:251666432" filled="f" stroked="f">
            <v:textbox>
              <w:txbxContent>
                <w:p w:rsidR="00836379" w:rsidRPr="00A722DB" w:rsidRDefault="00836379" w:rsidP="0032072D">
                  <w:pPr>
                    <w:spacing w:after="0"/>
                    <w:rPr>
                      <w:b/>
                      <w:bCs/>
                      <w:sz w:val="18"/>
                      <w:szCs w:val="18"/>
                    </w:rPr>
                  </w:pPr>
                  <w:r w:rsidRPr="00A722DB">
                    <w:rPr>
                      <w:b/>
                      <w:bCs/>
                      <w:sz w:val="18"/>
                      <w:szCs w:val="18"/>
                    </w:rPr>
                    <w:t>Oxydation (FeCl3)</w:t>
                  </w:r>
                </w:p>
                <w:p w:rsidR="00836379" w:rsidRPr="00A722DB" w:rsidRDefault="00836379" w:rsidP="0032072D">
                  <w:pPr>
                    <w:spacing w:after="0"/>
                    <w:rPr>
                      <w:b/>
                      <w:bCs/>
                      <w:sz w:val="18"/>
                      <w:szCs w:val="18"/>
                    </w:rPr>
                  </w:pPr>
                  <w:r w:rsidRPr="00A722DB">
                    <w:rPr>
                      <w:b/>
                      <w:bCs/>
                      <w:sz w:val="18"/>
                      <w:szCs w:val="18"/>
                    </w:rPr>
                    <w:t>Hydrolyse (HCl)</w:t>
                  </w:r>
                </w:p>
                <w:p w:rsidR="00836379" w:rsidRPr="00A722DB" w:rsidRDefault="00836379" w:rsidP="0032072D">
                  <w:pPr>
                    <w:spacing w:after="0"/>
                    <w:rPr>
                      <w:b/>
                      <w:bCs/>
                      <w:sz w:val="18"/>
                      <w:szCs w:val="18"/>
                    </w:rPr>
                  </w:pPr>
                  <w:r w:rsidRPr="00A722DB">
                    <w:rPr>
                      <w:b/>
                      <w:bCs/>
                      <w:sz w:val="18"/>
                      <w:szCs w:val="18"/>
                    </w:rPr>
                    <w:t>Extraction (sol org apolaire)</w:t>
                  </w:r>
                </w:p>
              </w:txbxContent>
            </v:textbox>
          </v:shape>
        </w:pict>
      </w:r>
      <w:r>
        <w:rPr>
          <w:noProof/>
          <w:lang w:eastAsia="fr-FR"/>
        </w:rPr>
        <w:pict>
          <v:shape id="_x0000_s1048" type="#_x0000_t202" style="position:absolute;left:0;text-align:left;margin-left:201.25pt;margin-top:28.3pt;width:265.65pt;height:22.35pt;z-index:251667456" filled="f" stroked="f">
            <v:textbox>
              <w:txbxContent>
                <w:p w:rsidR="00836379" w:rsidRPr="00A722DB" w:rsidRDefault="00836379" w:rsidP="00A722DB">
                  <w:pPr>
                    <w:spacing w:after="0"/>
                    <w:rPr>
                      <w:b/>
                      <w:bCs/>
                      <w:sz w:val="16"/>
                      <w:szCs w:val="16"/>
                    </w:rPr>
                  </w:pPr>
                  <w:r>
                    <w:rPr>
                      <w:b/>
                      <w:bCs/>
                      <w:sz w:val="16"/>
                      <w:szCs w:val="16"/>
                    </w:rPr>
                    <w:t xml:space="preserve">Extraction par </w:t>
                  </w:r>
                  <w:r w:rsidRPr="00A722DB">
                    <w:rPr>
                      <w:b/>
                      <w:bCs/>
                      <w:sz w:val="16"/>
                      <w:szCs w:val="16"/>
                    </w:rPr>
                    <w:t>Eau bouillante/ sol hydro-alcoolique avec ébullition</w:t>
                  </w:r>
                </w:p>
              </w:txbxContent>
            </v:textbox>
          </v:shape>
        </w:pict>
      </w:r>
      <w:r>
        <w:rPr>
          <w:noProof/>
          <w:lang w:eastAsia="fr-FR"/>
        </w:rPr>
        <w:pict>
          <v:shape id="_x0000_s1052" type="#_x0000_t202" style="position:absolute;left:0;text-align:left;margin-left:19.9pt;margin-top:270.4pt;width:396.9pt;height:22.35pt;z-index:251670528" filled="f" stroked="f">
            <v:textbox>
              <w:txbxContent>
                <w:p w:rsidR="00836379" w:rsidRPr="00A722DB" w:rsidRDefault="00836379" w:rsidP="00A722DB">
                  <w:pPr>
                    <w:spacing w:after="0"/>
                    <w:jc w:val="center"/>
                    <w:rPr>
                      <w:b/>
                      <w:bCs/>
                      <w:sz w:val="16"/>
                      <w:szCs w:val="16"/>
                    </w:rPr>
                  </w:pPr>
                  <w:r>
                    <w:rPr>
                      <w:b/>
                      <w:bCs/>
                      <w:sz w:val="16"/>
                      <w:szCs w:val="16"/>
                    </w:rPr>
                    <w:t>Schéma d’extraction des anthrécénosides à partir d’une drogue végétale</w:t>
                  </w:r>
                </w:p>
              </w:txbxContent>
            </v:textbox>
          </v:shape>
        </w:pict>
      </w:r>
      <w:r>
        <w:rPr>
          <w:noProof/>
          <w:lang w:eastAsia="fr-FR"/>
        </w:rPr>
        <w:pict>
          <v:shape id="_x0000_s1051" type="#_x0000_t202" style="position:absolute;left:0;text-align:left;margin-left:76.15pt;margin-top:213.4pt;width:166.5pt;height:52.5pt;z-index:251669504" filled="f" stroked="f">
            <v:textbox>
              <w:txbxContent>
                <w:p w:rsidR="00836379" w:rsidRPr="00A722DB" w:rsidRDefault="00836379" w:rsidP="00A722DB">
                  <w:pPr>
                    <w:spacing w:after="0"/>
                    <w:jc w:val="center"/>
                    <w:rPr>
                      <w:b/>
                      <w:bCs/>
                      <w:sz w:val="24"/>
                      <w:szCs w:val="24"/>
                    </w:rPr>
                  </w:pPr>
                  <w:r w:rsidRPr="00A722DB">
                    <w:rPr>
                      <w:b/>
                      <w:bCs/>
                      <w:sz w:val="24"/>
                      <w:szCs w:val="24"/>
                    </w:rPr>
                    <w:t>Phase aqueuse</w:t>
                  </w:r>
                </w:p>
                <w:p w:rsidR="00836379" w:rsidRPr="00A722DB" w:rsidRDefault="00836379" w:rsidP="00A722DB">
                  <w:pPr>
                    <w:spacing w:after="0"/>
                    <w:jc w:val="center"/>
                    <w:rPr>
                      <w:b/>
                      <w:bCs/>
                      <w:sz w:val="24"/>
                      <w:szCs w:val="24"/>
                    </w:rPr>
                  </w:pPr>
                  <w:r w:rsidRPr="00A722DB">
                    <w:rPr>
                      <w:b/>
                      <w:bCs/>
                      <w:sz w:val="24"/>
                      <w:szCs w:val="24"/>
                    </w:rPr>
                    <w:t>anthraquinones</w:t>
                  </w:r>
                </w:p>
              </w:txbxContent>
            </v:textbox>
          </v:shape>
        </w:pict>
      </w:r>
      <w:r>
        <w:rPr>
          <w:noProof/>
          <w:lang w:eastAsia="fr-FR"/>
        </w:rPr>
        <w:pict>
          <v:oval id="_x0000_s1046" style="position:absolute;left:0;text-align:left;margin-left:65.65pt;margin-top:209.65pt;width:188.25pt;height:51pt;z-index:251665408" fillcolor="white [3201]" strokecolor="black [3200]" strokeweight="5pt">
            <v:stroke linestyle="thickThin"/>
            <v:shadow color="#868686"/>
          </v:oval>
        </w:pict>
      </w:r>
      <w:r>
        <w:rPr>
          <w:noProof/>
          <w:lang w:eastAsia="fr-FR"/>
        </w:rPr>
        <w:pict>
          <v:shapetype id="_x0000_t32" coordsize="21600,21600" o:spt="32" o:oned="t" path="m,l21600,21600e" filled="f">
            <v:path arrowok="t" fillok="f" o:connecttype="none"/>
            <o:lock v:ext="edit" shapetype="t"/>
          </v:shapetype>
          <v:shape id="_x0000_s1045" type="#_x0000_t32" style="position:absolute;left:0;text-align:left;margin-left:161.65pt;margin-top:156.4pt;width:0;height:49.5pt;z-index:251664384" o:connectortype="straight" strokecolor="black [3200]" strokeweight="5pt">
            <v:shadow color="#868686"/>
          </v:shape>
        </w:pict>
      </w:r>
      <w:r>
        <w:rPr>
          <w:noProof/>
          <w:lang w:eastAsia="fr-FR"/>
        </w:rPr>
        <w:pict>
          <v:shape id="_x0000_s1049" type="#_x0000_t202" style="position:absolute;left:0;text-align:left;margin-left:40pt;margin-top:88.15pt;width:225.9pt;height:22.35pt;z-index:251668480" filled="f" stroked="f">
            <v:textbox>
              <w:txbxContent>
                <w:p w:rsidR="00836379" w:rsidRPr="00A722DB" w:rsidRDefault="00836379" w:rsidP="00A722DB">
                  <w:pPr>
                    <w:spacing w:after="0"/>
                    <w:rPr>
                      <w:b/>
                      <w:bCs/>
                      <w:sz w:val="16"/>
                      <w:szCs w:val="16"/>
                    </w:rPr>
                  </w:pPr>
                  <w:r w:rsidRPr="00A722DB">
                    <w:rPr>
                      <w:b/>
                      <w:bCs/>
                      <w:sz w:val="16"/>
                      <w:szCs w:val="16"/>
                    </w:rPr>
                    <w:t>E</w:t>
                  </w:r>
                  <w:r>
                    <w:rPr>
                      <w:b/>
                      <w:bCs/>
                      <w:sz w:val="16"/>
                      <w:szCs w:val="16"/>
                    </w:rPr>
                    <w:t>xtraction par slv org apolaire</w:t>
                  </w:r>
                </w:p>
              </w:txbxContent>
            </v:textbox>
          </v:shape>
        </w:pict>
      </w:r>
      <w:r w:rsidR="0032072D">
        <w:t xml:space="preserve">                          </w:t>
      </w:r>
      <w:r w:rsidR="0032072D">
        <w:rPr>
          <w:noProof/>
          <w:lang w:eastAsia="fr-FR"/>
        </w:rPr>
        <w:drawing>
          <wp:inline distT="0" distB="0" distL="0" distR="0">
            <wp:extent cx="3457575" cy="1933575"/>
            <wp:effectExtent l="0" t="19050" r="0" b="0"/>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394946" w:rsidRDefault="00394946" w:rsidP="000C1DB6">
      <w:pPr>
        <w:jc w:val="both"/>
      </w:pPr>
    </w:p>
    <w:p w:rsidR="00394946" w:rsidRDefault="00394946" w:rsidP="000C1DB6">
      <w:pPr>
        <w:jc w:val="both"/>
      </w:pPr>
    </w:p>
    <w:p w:rsidR="00394946" w:rsidRDefault="00394946" w:rsidP="000C1DB6">
      <w:pPr>
        <w:jc w:val="both"/>
      </w:pPr>
    </w:p>
    <w:p w:rsidR="00394946" w:rsidRDefault="00394946" w:rsidP="000C1DB6">
      <w:pPr>
        <w:jc w:val="both"/>
      </w:pPr>
    </w:p>
    <w:p w:rsidR="00394946" w:rsidRDefault="00394946" w:rsidP="000C1DB6">
      <w:pPr>
        <w:jc w:val="both"/>
      </w:pPr>
    </w:p>
    <w:p w:rsidR="00A46EE7" w:rsidRDefault="00A46EE7" w:rsidP="000C1DB6">
      <w:pPr>
        <w:jc w:val="both"/>
        <w:rPr>
          <w:b/>
          <w:bCs/>
          <w:u w:val="single"/>
        </w:rPr>
      </w:pPr>
    </w:p>
    <w:p w:rsidR="00394946" w:rsidRPr="00CE2449" w:rsidRDefault="00CE2449" w:rsidP="00A46EE7">
      <w:pPr>
        <w:spacing w:after="0"/>
        <w:jc w:val="both"/>
        <w:rPr>
          <w:b/>
          <w:bCs/>
          <w:u w:val="single"/>
        </w:rPr>
      </w:pPr>
      <w:r>
        <w:rPr>
          <w:b/>
          <w:bCs/>
          <w:u w:val="single"/>
        </w:rPr>
        <w:t>C) C</w:t>
      </w:r>
      <w:r w:rsidR="00394946" w:rsidRPr="00CE2449">
        <w:rPr>
          <w:b/>
          <w:bCs/>
          <w:u w:val="single"/>
        </w:rPr>
        <w:t>aractérisation :</w:t>
      </w:r>
    </w:p>
    <w:p w:rsidR="00A46EE7" w:rsidRPr="00A46EE7" w:rsidRDefault="00394946" w:rsidP="00A46EE7">
      <w:pPr>
        <w:jc w:val="both"/>
      </w:pPr>
      <w:r>
        <w:t xml:space="preserve">La caractérisation des drogues à dérivés hydroxyanthracéniques se fait le plus souvent par des réactions colorées et également par chromatographie. </w:t>
      </w:r>
    </w:p>
    <w:p w:rsidR="00394946" w:rsidRPr="00CE2449" w:rsidRDefault="00394946" w:rsidP="00A46EE7">
      <w:pPr>
        <w:spacing w:after="0"/>
        <w:jc w:val="both"/>
        <w:rPr>
          <w:u w:val="single"/>
        </w:rPr>
      </w:pPr>
      <w:r w:rsidRPr="00CE2449">
        <w:rPr>
          <w:u w:val="single"/>
        </w:rPr>
        <w:t>Réactions colorées :</w:t>
      </w:r>
    </w:p>
    <w:p w:rsidR="00957ED8" w:rsidRDefault="00957ED8" w:rsidP="00A46EE7">
      <w:pPr>
        <w:jc w:val="both"/>
      </w:pPr>
      <w:r w:rsidRPr="00957ED8">
        <w:rPr>
          <w:b/>
          <w:bCs/>
        </w:rPr>
        <w:t>1)</w:t>
      </w:r>
      <w:r>
        <w:t xml:space="preserve"> </w:t>
      </w:r>
      <w:r w:rsidR="00394946" w:rsidRPr="00957ED8">
        <w:rPr>
          <w:b/>
          <w:bCs/>
        </w:rPr>
        <w:t>Réaction de Borntrager</w:t>
      </w:r>
      <w:r w:rsidR="00394946">
        <w:t xml:space="preserve"> : </w:t>
      </w:r>
      <w:r>
        <w:t>elle est positive avec les formes oxydées libre</w:t>
      </w:r>
      <w:r w:rsidR="00DF75C7">
        <w:t>s</w:t>
      </w:r>
      <w:r>
        <w:t>, en présence d’une solution aqueuse alcaline diluée (KOH, NH4OH) les formes anthraquinoniques libres donnent une coloration rouge +/- violacée.</w:t>
      </w:r>
    </w:p>
    <w:p w:rsidR="006F5E2A" w:rsidRDefault="00957ED8" w:rsidP="00957ED8">
      <w:pPr>
        <w:jc w:val="both"/>
      </w:pPr>
      <w:r w:rsidRPr="00957ED8">
        <w:rPr>
          <w:b/>
          <w:bCs/>
        </w:rPr>
        <w:t>2) réaction à l’acétate de Mg</w:t>
      </w:r>
      <w:r>
        <w:t xml:space="preserve"> : c’est </w:t>
      </w:r>
      <w:r w:rsidR="006F5E2A">
        <w:t>une réaction spécifique aux dihydroxy-1,8-anthraquinones, en présence d’acétate de Mg en milieu méthanolique les formes oxydé</w:t>
      </w:r>
      <w:r w:rsidR="00D811E0">
        <w:t>e</w:t>
      </w:r>
      <w:r w:rsidR="006F5E2A">
        <w:t>s libres donnent une coloration rouge intense.</w:t>
      </w:r>
    </w:p>
    <w:p w:rsidR="00CE2449" w:rsidRPr="00CE2449" w:rsidRDefault="006F5E2A" w:rsidP="00957ED8">
      <w:pPr>
        <w:jc w:val="both"/>
      </w:pPr>
      <w:r w:rsidRPr="006F5E2A">
        <w:rPr>
          <w:b/>
          <w:bCs/>
        </w:rPr>
        <w:t xml:space="preserve">3) </w:t>
      </w:r>
      <w:r w:rsidR="00CE2449">
        <w:rPr>
          <w:b/>
          <w:bCs/>
        </w:rPr>
        <w:t xml:space="preserve">réaction à la p-nitrosodimethylaniline : </w:t>
      </w:r>
      <w:r w:rsidR="00CE2449" w:rsidRPr="00CE2449">
        <w:t>c’est une réaction spécifique aux anthrones, en présence de p-NDMA forme une azométhine colorée en gris-bleu</w:t>
      </w:r>
      <w:r w:rsidR="00CE2449">
        <w:t>.</w:t>
      </w:r>
    </w:p>
    <w:p w:rsidR="00892EC6" w:rsidRDefault="00CE2449" w:rsidP="00957ED8">
      <w:pPr>
        <w:jc w:val="both"/>
      </w:pPr>
      <w:r>
        <w:rPr>
          <w:b/>
          <w:bCs/>
        </w:rPr>
        <w:t xml:space="preserve">4) </w:t>
      </w:r>
      <w:r w:rsidR="006F5E2A" w:rsidRPr="006F5E2A">
        <w:rPr>
          <w:b/>
          <w:bCs/>
        </w:rPr>
        <w:t>réaction de Schouteten</w:t>
      </w:r>
      <w:r w:rsidR="006F5E2A">
        <w:t> : c’est une réaction spécifique aux  C-hétérosides d’anthrones</w:t>
      </w:r>
      <w:r>
        <w:t xml:space="preserve">, en présence d’une solution de borate de Na les C-hétérosides s’isomérisent en une forme anthranolique qui présente une fluorescence jaune verte en lumière UV. </w:t>
      </w:r>
    </w:p>
    <w:p w:rsidR="00892EC6" w:rsidRDefault="00892EC6" w:rsidP="00A46EE7">
      <w:pPr>
        <w:spacing w:after="0"/>
        <w:rPr>
          <w:u w:val="single"/>
        </w:rPr>
      </w:pPr>
      <w:r w:rsidRPr="00892EC6">
        <w:rPr>
          <w:u w:val="single"/>
        </w:rPr>
        <w:t>Chromatographie :</w:t>
      </w:r>
    </w:p>
    <w:p w:rsidR="000B3A75" w:rsidRPr="00DF75C7" w:rsidRDefault="00892EC6" w:rsidP="00DF75C7">
      <w:pPr>
        <w:spacing w:after="0"/>
        <w:jc w:val="both"/>
      </w:pPr>
      <w:r>
        <w:t xml:space="preserve">L’identification des hétérosides et des génines se fait habituellement par </w:t>
      </w:r>
      <w:r w:rsidRPr="00892EC6">
        <w:rPr>
          <w:b/>
          <w:bCs/>
        </w:rPr>
        <w:t>CCM</w:t>
      </w:r>
      <w:r>
        <w:rPr>
          <w:b/>
          <w:bCs/>
        </w:rPr>
        <w:t xml:space="preserve"> </w:t>
      </w:r>
      <w:r>
        <w:t xml:space="preserve"> et la révélation  par la réaction de Borntrager (KOH) directement ou après oxydation, sur la plaque, des anthrone en anthraquinone.</w:t>
      </w:r>
    </w:p>
    <w:p w:rsidR="00892EC6" w:rsidRDefault="00892EC6" w:rsidP="000B3A75">
      <w:pPr>
        <w:spacing w:after="0"/>
        <w:jc w:val="both"/>
        <w:rPr>
          <w:b/>
          <w:bCs/>
          <w:u w:val="single"/>
        </w:rPr>
      </w:pPr>
      <w:r w:rsidRPr="00892EC6">
        <w:rPr>
          <w:b/>
          <w:bCs/>
          <w:u w:val="single"/>
        </w:rPr>
        <w:lastRenderedPageBreak/>
        <w:t>D) Dosage :</w:t>
      </w:r>
    </w:p>
    <w:p w:rsidR="000B3A75" w:rsidRDefault="00D811E0" w:rsidP="000B3A75">
      <w:pPr>
        <w:spacing w:after="0"/>
        <w:jc w:val="both"/>
      </w:pPr>
      <w:r>
        <w:t>La P</w:t>
      </w:r>
      <w:r w:rsidR="000B3A75" w:rsidRPr="000B3A75">
        <w:t>harmacopée préconise le dosage des seul</w:t>
      </w:r>
      <w:r w:rsidR="000B3A75">
        <w:t>e</w:t>
      </w:r>
      <w:r w:rsidR="00DF75C7">
        <w:t xml:space="preserve">s formes combinées </w:t>
      </w:r>
      <w:r>
        <w:t>totaux ou individualisé</w:t>
      </w:r>
      <w:r w:rsidR="005D5426">
        <w:t>s</w:t>
      </w:r>
      <w:r w:rsidR="000B3A75" w:rsidRPr="000B3A75">
        <w:t>.</w:t>
      </w:r>
      <w:r w:rsidR="005D5426">
        <w:t xml:space="preserve"> Ainsi les génines de ces hétérosides sont dosées après une hydrolyse acide ou oxydante suivie d’une extraction par un solvant organique apolaire.</w:t>
      </w:r>
    </w:p>
    <w:p w:rsidR="00BF2F0E" w:rsidRDefault="00C52194" w:rsidP="00DF75C7">
      <w:pPr>
        <w:pStyle w:val="Paragraphedeliste"/>
        <w:numPr>
          <w:ilvl w:val="0"/>
          <w:numId w:val="2"/>
        </w:numPr>
        <w:spacing w:after="0"/>
        <w:jc w:val="both"/>
      </w:pPr>
      <w:r>
        <w:t>Colorimétrie : soit  par la réaction de Borntrager ou à l’acétate de Mg.</w:t>
      </w:r>
    </w:p>
    <w:p w:rsidR="00C52194" w:rsidRDefault="00C52194" w:rsidP="00C52194">
      <w:pPr>
        <w:pStyle w:val="Paragraphedeliste"/>
        <w:numPr>
          <w:ilvl w:val="0"/>
          <w:numId w:val="2"/>
        </w:numPr>
        <w:spacing w:after="0"/>
        <w:jc w:val="both"/>
      </w:pPr>
      <w:r>
        <w:t>HPLC : permet un dosage individuel des hétérosides.</w:t>
      </w:r>
    </w:p>
    <w:p w:rsidR="00BF2F0E" w:rsidRDefault="00BF2F0E" w:rsidP="00BF2F0E">
      <w:pPr>
        <w:spacing w:after="0"/>
        <w:jc w:val="both"/>
      </w:pPr>
    </w:p>
    <w:p w:rsidR="00BF2F0E" w:rsidRDefault="00BF2F0E" w:rsidP="00BF2F0E">
      <w:pPr>
        <w:jc w:val="both"/>
        <w:rPr>
          <w:b/>
          <w:bCs/>
          <w:sz w:val="24"/>
          <w:szCs w:val="24"/>
          <w:u w:val="single"/>
        </w:rPr>
      </w:pPr>
      <w:r w:rsidRPr="00BF2F0E">
        <w:rPr>
          <w:b/>
          <w:bCs/>
          <w:sz w:val="24"/>
          <w:szCs w:val="24"/>
          <w:u w:val="single"/>
        </w:rPr>
        <w:t>5) Propriétés pharmacologique</w:t>
      </w:r>
      <w:r w:rsidR="00D811E0">
        <w:rPr>
          <w:b/>
          <w:bCs/>
          <w:sz w:val="24"/>
          <w:szCs w:val="24"/>
          <w:u w:val="single"/>
        </w:rPr>
        <w:t>s</w:t>
      </w:r>
      <w:r w:rsidRPr="00BF2F0E">
        <w:rPr>
          <w:b/>
          <w:bCs/>
          <w:sz w:val="24"/>
          <w:szCs w:val="24"/>
          <w:u w:val="single"/>
        </w:rPr>
        <w:t xml:space="preserve"> et emplois :</w:t>
      </w:r>
    </w:p>
    <w:p w:rsidR="00BF2F0E" w:rsidRDefault="003C1BB0" w:rsidP="00B4388F">
      <w:pPr>
        <w:spacing w:after="0"/>
        <w:jc w:val="both"/>
      </w:pPr>
      <w:r w:rsidRPr="003C1BB0">
        <w:rPr>
          <w:u w:val="single"/>
        </w:rPr>
        <w:t>A) propriétés pharmacologiques</w:t>
      </w:r>
      <w:r>
        <w:t xml:space="preserve"> : </w:t>
      </w:r>
      <w:r w:rsidR="00B4388F">
        <w:t>L’action diffère selon la dose </w:t>
      </w:r>
    </w:p>
    <w:p w:rsidR="00B4388F" w:rsidRDefault="00B4388F" w:rsidP="00B4388F">
      <w:pPr>
        <w:pStyle w:val="Paragraphedeliste"/>
        <w:numPr>
          <w:ilvl w:val="0"/>
          <w:numId w:val="3"/>
        </w:numPr>
        <w:spacing w:after="0"/>
        <w:jc w:val="both"/>
      </w:pPr>
      <w:r>
        <w:t>Cholagogue à faible dose</w:t>
      </w:r>
    </w:p>
    <w:p w:rsidR="00B4388F" w:rsidRDefault="00B4388F" w:rsidP="00B4388F">
      <w:pPr>
        <w:pStyle w:val="Paragraphedeliste"/>
        <w:numPr>
          <w:ilvl w:val="0"/>
          <w:numId w:val="3"/>
        </w:numPr>
        <w:spacing w:after="0"/>
        <w:jc w:val="both"/>
      </w:pPr>
      <w:r>
        <w:t>Laxatif stimulant à dose usuelle</w:t>
      </w:r>
    </w:p>
    <w:p w:rsidR="00B4388F" w:rsidRDefault="00B4388F" w:rsidP="00B4388F">
      <w:pPr>
        <w:pStyle w:val="Paragraphedeliste"/>
        <w:numPr>
          <w:ilvl w:val="0"/>
          <w:numId w:val="3"/>
        </w:numPr>
        <w:jc w:val="both"/>
      </w:pPr>
      <w:r>
        <w:t>Purgatif à forte dose</w:t>
      </w:r>
    </w:p>
    <w:p w:rsidR="00B4388F" w:rsidRDefault="00B4388F" w:rsidP="00B4388F">
      <w:pPr>
        <w:jc w:val="both"/>
      </w:pPr>
      <w:r>
        <w:t>Les dérivés les plus intéressants sont  les formes combinées oxydées :</w:t>
      </w:r>
    </w:p>
    <w:p w:rsidR="00B4388F" w:rsidRDefault="00B4388F" w:rsidP="00B4388F">
      <w:pPr>
        <w:pStyle w:val="Paragraphedeliste"/>
        <w:numPr>
          <w:ilvl w:val="0"/>
          <w:numId w:val="6"/>
        </w:numPr>
        <w:jc w:val="both"/>
      </w:pPr>
      <w:r>
        <w:t>O-hétérosides de dianthrones</w:t>
      </w:r>
    </w:p>
    <w:p w:rsidR="00B4388F" w:rsidRDefault="00B4388F" w:rsidP="00B4388F">
      <w:pPr>
        <w:pStyle w:val="Paragraphedeliste"/>
        <w:numPr>
          <w:ilvl w:val="0"/>
          <w:numId w:val="6"/>
        </w:numPr>
        <w:jc w:val="both"/>
      </w:pPr>
      <w:r>
        <w:t>O-hétérosides d’anthraquinones</w:t>
      </w:r>
    </w:p>
    <w:p w:rsidR="00B4388F" w:rsidRDefault="00B4388F" w:rsidP="00B4388F">
      <w:pPr>
        <w:pStyle w:val="Paragraphedeliste"/>
        <w:numPr>
          <w:ilvl w:val="0"/>
          <w:numId w:val="6"/>
        </w:numPr>
        <w:jc w:val="both"/>
      </w:pPr>
      <w:r>
        <w:t>C-hétérosides d’anthrones</w:t>
      </w:r>
    </w:p>
    <w:p w:rsidR="00B4388F" w:rsidRDefault="00D811E0" w:rsidP="00DF75C7">
      <w:pPr>
        <w:spacing w:after="0"/>
        <w:jc w:val="both"/>
      </w:pPr>
      <w:r>
        <w:t>L’anthrone</w:t>
      </w:r>
      <w:r w:rsidR="006026DE">
        <w:t xml:space="preserve">  ou les hétérosides d’anthrones sont des purgatifs drastiques (violent</w:t>
      </w:r>
      <w:r>
        <w:t>s</w:t>
      </w:r>
      <w:r w:rsidR="00DF75C7">
        <w:t xml:space="preserve">) et </w:t>
      </w:r>
      <w:r w:rsidR="00B4388F">
        <w:t>Les génines libres oxydées sont pratiquement inactives</w:t>
      </w:r>
      <w:r w:rsidR="006026DE">
        <w:t>.</w:t>
      </w:r>
    </w:p>
    <w:p w:rsidR="00DF75C7" w:rsidRDefault="00DF75C7" w:rsidP="00DF75C7">
      <w:pPr>
        <w:spacing w:after="0"/>
        <w:jc w:val="both"/>
      </w:pPr>
    </w:p>
    <w:p w:rsidR="002B768D" w:rsidRDefault="002B768D" w:rsidP="006026DE">
      <w:pPr>
        <w:jc w:val="both"/>
        <w:rPr>
          <w:u w:val="single"/>
        </w:rPr>
      </w:pPr>
      <w:r w:rsidRPr="002B768D">
        <w:rPr>
          <w:u w:val="single"/>
        </w:rPr>
        <w:t>Métabolisme :</w:t>
      </w:r>
    </w:p>
    <w:p w:rsidR="00CE655E" w:rsidRDefault="00CE655E" w:rsidP="006026DE">
      <w:pPr>
        <w:jc w:val="both"/>
      </w:pPr>
      <w:r w:rsidRPr="00CE655E">
        <w:rPr>
          <w:b/>
          <w:bCs/>
        </w:rPr>
        <w:t>L</w:t>
      </w:r>
      <w:r w:rsidR="002B768D" w:rsidRPr="00CE655E">
        <w:rPr>
          <w:b/>
          <w:bCs/>
        </w:rPr>
        <w:t>es génines libres réduites</w:t>
      </w:r>
      <w:r w:rsidR="002B768D">
        <w:t xml:space="preserve"> (anthrones)</w:t>
      </w:r>
      <w:r>
        <w:t> :</w:t>
      </w:r>
      <w:r w:rsidR="002B768D">
        <w:t xml:space="preserve"> sont absorbées au niveau de l’intestin grêle</w:t>
      </w:r>
      <w:r>
        <w:t>, glucuro-conjuguées et en grande partie éliminées par voie urinaire.</w:t>
      </w:r>
    </w:p>
    <w:p w:rsidR="00CE655E" w:rsidRDefault="00CE655E" w:rsidP="00CE655E">
      <w:pPr>
        <w:spacing w:after="0"/>
        <w:jc w:val="both"/>
      </w:pPr>
      <w:r w:rsidRPr="00CE655E">
        <w:rPr>
          <w:b/>
          <w:bCs/>
        </w:rPr>
        <w:t>Les formes oxydées combinées</w:t>
      </w:r>
      <w:r>
        <w:t xml:space="preserve"> (hétérosides d’anthraquinones et dianthrones) : ce sont des molécules hydrosolubles à PM élevé, elles ne sont ni absorbées ni hydrolysées au niveau de l’intestin grêle. </w:t>
      </w:r>
    </w:p>
    <w:p w:rsidR="005E18AC" w:rsidRDefault="00CE655E" w:rsidP="00CE655E">
      <w:pPr>
        <w:jc w:val="both"/>
      </w:pPr>
      <w:r>
        <w:t xml:space="preserve">Au niveau du colon, elles sont hydrolysées par les </w:t>
      </w:r>
      <w:r w:rsidR="005C56E5" w:rsidRPr="005C56E5">
        <w:rPr>
          <w:rFonts w:ascii="Times New Roman" w:hAnsi="Times New Roman" w:cs="Times New Roman"/>
          <w:b/>
          <w:bCs/>
        </w:rPr>
        <w:t>β</w:t>
      </w:r>
      <w:r w:rsidR="005C56E5" w:rsidRPr="005C56E5">
        <w:rPr>
          <w:b/>
          <w:bCs/>
        </w:rPr>
        <w:t>–</w:t>
      </w:r>
      <w:r w:rsidRPr="005C56E5">
        <w:rPr>
          <w:b/>
          <w:bCs/>
        </w:rPr>
        <w:t>glucosidases</w:t>
      </w:r>
      <w:r w:rsidR="005C56E5">
        <w:t xml:space="preserve"> de la flore colique en génines libres puis réduites pour donner la forme active (</w:t>
      </w:r>
      <w:r w:rsidR="005C56E5" w:rsidRPr="005C56E5">
        <w:rPr>
          <w:b/>
          <w:bCs/>
        </w:rPr>
        <w:t>anthrone</w:t>
      </w:r>
      <w:r w:rsidR="00D811E0">
        <w:t>) au niveau de son s</w:t>
      </w:r>
      <w:r w:rsidR="005C56E5">
        <w:t>ite d’action (colon), cela explique le temps de latence entre la prise de la drogue et l’effet laxatif (6 à 12h).</w:t>
      </w:r>
    </w:p>
    <w:p w:rsidR="002B768D" w:rsidRDefault="005E18AC" w:rsidP="005E18AC">
      <w:pPr>
        <w:spacing w:after="0"/>
        <w:jc w:val="both"/>
      </w:pPr>
      <w:r w:rsidRPr="005E18AC">
        <w:rPr>
          <w:u w:val="single"/>
        </w:rPr>
        <w:t>Mécanisme d’action :</w:t>
      </w:r>
      <w:r w:rsidR="002B768D">
        <w:t xml:space="preserve"> </w:t>
      </w:r>
    </w:p>
    <w:p w:rsidR="005E18AC" w:rsidRDefault="0092055A" w:rsidP="005E18AC">
      <w:pPr>
        <w:jc w:val="both"/>
      </w:pPr>
      <w:r>
        <w:t>Action</w:t>
      </w:r>
      <w:r w:rsidR="005E18AC">
        <w:t xml:space="preserve"> sur la </w:t>
      </w:r>
      <w:r w:rsidR="005E18AC" w:rsidRPr="00423AD7">
        <w:rPr>
          <w:b/>
          <w:bCs/>
        </w:rPr>
        <w:t>motilité intestinale</w:t>
      </w:r>
      <w:r>
        <w:t> :</w:t>
      </w:r>
      <w:r w:rsidR="005E18AC">
        <w:t xml:space="preserve"> ils augmentent le péristaltisme intestinal au niveau du colon gauche et sigmoïde.</w:t>
      </w:r>
    </w:p>
    <w:p w:rsidR="005E18AC" w:rsidRDefault="0092055A" w:rsidP="005E18AC">
      <w:pPr>
        <w:jc w:val="both"/>
      </w:pPr>
      <w:r w:rsidRPr="00423AD7">
        <w:rPr>
          <w:b/>
          <w:bCs/>
        </w:rPr>
        <w:t xml:space="preserve">Inhibition de </w:t>
      </w:r>
      <w:r w:rsidR="00760DD6" w:rsidRPr="00423AD7">
        <w:rPr>
          <w:b/>
          <w:bCs/>
        </w:rPr>
        <w:t>la pompe Na-K ATPasique des en</w:t>
      </w:r>
      <w:r w:rsidR="009A5FC1" w:rsidRPr="00423AD7">
        <w:rPr>
          <w:b/>
          <w:bCs/>
        </w:rPr>
        <w:t>t</w:t>
      </w:r>
      <w:r w:rsidR="00760DD6" w:rsidRPr="00423AD7">
        <w:rPr>
          <w:b/>
          <w:bCs/>
        </w:rPr>
        <w:t>érocytes</w:t>
      </w:r>
      <w:r>
        <w:t xml:space="preserve"> : ainsi </w:t>
      </w:r>
      <w:r w:rsidR="009A5FC1">
        <w:t xml:space="preserve"> inhibition de la résorption de l’eau-Na-Cl (effet hydragogue)</w:t>
      </w:r>
      <w:r w:rsidR="00760DD6">
        <w:t xml:space="preserve"> </w:t>
      </w:r>
      <w:r>
        <w:t>et augmentation de la sécrétion du K au niveau de la muqueuse intestinale.</w:t>
      </w:r>
    </w:p>
    <w:p w:rsidR="003C1BB0" w:rsidRDefault="00C833D5" w:rsidP="005E18AC">
      <w:pPr>
        <w:jc w:val="both"/>
      </w:pPr>
      <w:r>
        <w:t>Un abus de dérivés anthraquinoniques provoque de la diarrhée et de l’hypokaliémie ainsi qu’une mélanose colique caractéristique mais non dangereuse (pigmentation noirâtre de la muqueuse colique).</w:t>
      </w:r>
    </w:p>
    <w:p w:rsidR="00F73A98" w:rsidRDefault="00F73A98" w:rsidP="003D37B6">
      <w:pPr>
        <w:spacing w:after="0"/>
        <w:rPr>
          <w:u w:val="single"/>
        </w:rPr>
      </w:pPr>
    </w:p>
    <w:p w:rsidR="00E2207E" w:rsidRDefault="00E2207E" w:rsidP="003D37B6">
      <w:pPr>
        <w:spacing w:after="0"/>
        <w:rPr>
          <w:u w:val="single"/>
        </w:rPr>
      </w:pPr>
    </w:p>
    <w:p w:rsidR="00C833D5" w:rsidRDefault="003C1BB0" w:rsidP="003D37B6">
      <w:pPr>
        <w:spacing w:after="0"/>
      </w:pPr>
      <w:r w:rsidRPr="00581F3A">
        <w:rPr>
          <w:b/>
          <w:bCs/>
          <w:u w:val="single"/>
        </w:rPr>
        <w:lastRenderedPageBreak/>
        <w:t>B) Emplois</w:t>
      </w:r>
      <w:r>
        <w:t xml:space="preserve"> : </w:t>
      </w:r>
    </w:p>
    <w:p w:rsidR="00E319EF" w:rsidRDefault="00E319EF" w:rsidP="003D37B6">
      <w:pPr>
        <w:spacing w:after="0"/>
        <w:ind w:firstLine="708"/>
        <w:jc w:val="both"/>
      </w:pPr>
      <w:r>
        <w:t>Les différentes drogues à anthracénosides sont utilisées soit en nature  (tisanes) ou sous forme de préparations galéniques (poudres et extraits titrés) ou pour l’extraction des anthracénosides (Sennosides, Cascarosides)</w:t>
      </w:r>
    </w:p>
    <w:p w:rsidR="00B45915" w:rsidRDefault="00B45915" w:rsidP="003D37B6">
      <w:pPr>
        <w:spacing w:after="0"/>
        <w:ind w:firstLine="708"/>
        <w:jc w:val="both"/>
      </w:pPr>
      <w:r>
        <w:t>Ils sont utilisés comme laxatifs stimulants dans le traitement de courte durée de la constipation occasionnelle (8 à 10 jours)</w:t>
      </w:r>
    </w:p>
    <w:p w:rsidR="00D43895" w:rsidRDefault="00423AD7" w:rsidP="00E2207E">
      <w:pPr>
        <w:spacing w:after="0"/>
        <w:ind w:firstLine="708"/>
        <w:jc w:val="both"/>
      </w:pPr>
      <w:r>
        <w:t>Ils sont contre indiqués</w:t>
      </w:r>
      <w:r w:rsidR="00D43895">
        <w:t xml:space="preserve"> chez les enfants</w:t>
      </w:r>
      <w:r>
        <w:t xml:space="preserve"> de</w:t>
      </w:r>
      <w:r w:rsidR="00D43895">
        <w:t xml:space="preserve"> moins de 12 ans</w:t>
      </w:r>
      <w:r w:rsidR="00E2207E">
        <w:t xml:space="preserve"> </w:t>
      </w:r>
      <w:r w:rsidR="00E2207E" w:rsidRPr="00E2207E">
        <w:t>et lors de la grossesse (séné) et l’allaitement.</w:t>
      </w:r>
    </w:p>
    <w:p w:rsidR="000A1032" w:rsidRDefault="00D43895" w:rsidP="00E2207E">
      <w:pPr>
        <w:spacing w:after="0"/>
        <w:ind w:firstLine="708"/>
        <w:jc w:val="both"/>
      </w:pPr>
      <w:r>
        <w:t>Il y a un risque d’interaction possible avec les médicaments hypokaliémiant</w:t>
      </w:r>
      <w:r w:rsidR="00423AD7">
        <w:t>s</w:t>
      </w:r>
      <w:r>
        <w:t xml:space="preserve"> </w:t>
      </w:r>
    </w:p>
    <w:p w:rsidR="00E2207E" w:rsidRPr="00E2207E" w:rsidRDefault="00E2207E" w:rsidP="00E2207E">
      <w:pPr>
        <w:spacing w:after="0"/>
        <w:ind w:firstLine="708"/>
        <w:jc w:val="both"/>
      </w:pPr>
    </w:p>
    <w:p w:rsidR="00581F3A" w:rsidRDefault="00581F3A" w:rsidP="003C1BB0">
      <w:r w:rsidRPr="00581F3A">
        <w:rPr>
          <w:b/>
          <w:bCs/>
          <w:sz w:val="24"/>
          <w:szCs w:val="24"/>
          <w:u w:val="single"/>
        </w:rPr>
        <w:t>6) Drogues à anthracénosides</w:t>
      </w:r>
      <w:r w:rsidRPr="00581F3A">
        <w:rPr>
          <w:sz w:val="24"/>
          <w:szCs w:val="24"/>
        </w:rPr>
        <w:t> </w:t>
      </w:r>
      <w:r>
        <w:t>:</w:t>
      </w:r>
    </w:p>
    <w:p w:rsidR="00E319EF" w:rsidRDefault="002F2CD2" w:rsidP="002F2CD2">
      <w:pPr>
        <w:spacing w:after="0"/>
        <w:jc w:val="center"/>
      </w:pPr>
      <w:r w:rsidRPr="002F2CD2">
        <w:rPr>
          <w:b/>
          <w:bCs/>
          <w:sz w:val="24"/>
          <w:szCs w:val="24"/>
        </w:rPr>
        <w:t>Famille des Cesalpinacées </w:t>
      </w:r>
      <w:r>
        <w:t xml:space="preserve">: </w:t>
      </w:r>
      <w:r w:rsidR="00581F3A" w:rsidRPr="00FF36A8">
        <w:rPr>
          <w:highlight w:val="yellow"/>
        </w:rPr>
        <w:t>Les Sénés officinaux</w:t>
      </w:r>
      <w:r w:rsidR="00264D04">
        <w:t>.</w:t>
      </w:r>
      <w:r w:rsidR="00581F3A">
        <w:t xml:space="preserve"> </w:t>
      </w:r>
    </w:p>
    <w:p w:rsidR="00581F3A" w:rsidRDefault="00581F3A" w:rsidP="00264D04">
      <w:pPr>
        <w:pStyle w:val="Paragraphedeliste"/>
        <w:numPr>
          <w:ilvl w:val="0"/>
          <w:numId w:val="7"/>
        </w:numPr>
        <w:spacing w:after="0"/>
        <w:jc w:val="center"/>
      </w:pPr>
      <w:r>
        <w:t>Séné de l’Inde (Séné de Tinnevelly)</w:t>
      </w:r>
      <w:r w:rsidR="002F2CD2">
        <w:t> </w:t>
      </w:r>
      <w:r>
        <w:t xml:space="preserve">: </w:t>
      </w:r>
      <w:r w:rsidRPr="00581F3A">
        <w:rPr>
          <w:i/>
          <w:iCs/>
        </w:rPr>
        <w:t>Cassia angustifolia</w:t>
      </w:r>
      <w:r>
        <w:t xml:space="preserve"> Vahl</w:t>
      </w:r>
    </w:p>
    <w:p w:rsidR="00581F3A" w:rsidRDefault="00581F3A" w:rsidP="00264D04">
      <w:pPr>
        <w:pStyle w:val="Paragraphedeliste"/>
        <w:numPr>
          <w:ilvl w:val="0"/>
          <w:numId w:val="7"/>
        </w:numPr>
        <w:spacing w:after="0"/>
        <w:jc w:val="center"/>
      </w:pPr>
      <w:r>
        <w:t>Séné de Khartoum (Séné d’Alexandrie)</w:t>
      </w:r>
      <w:r w:rsidR="002F2CD2">
        <w:t> </w:t>
      </w:r>
      <w:r>
        <w:t xml:space="preserve">: </w:t>
      </w:r>
      <w:r w:rsidRPr="00581F3A">
        <w:rPr>
          <w:i/>
          <w:iCs/>
        </w:rPr>
        <w:t>Cassia acutifolia</w:t>
      </w:r>
      <w:r>
        <w:t xml:space="preserve"> Del</w:t>
      </w:r>
    </w:p>
    <w:p w:rsidR="00581F3A" w:rsidRDefault="001176CF" w:rsidP="00EA61B9">
      <w:pPr>
        <w:pStyle w:val="Paragraphedeliste"/>
        <w:spacing w:after="0"/>
      </w:pPr>
      <w:r>
        <w:rPr>
          <w:noProof/>
          <w:lang w:eastAsia="fr-FR"/>
        </w:rPr>
        <w:pict>
          <v:shape id="_x0000_s1086" type="#_x0000_t202" style="position:absolute;left:0;text-align:left;margin-left:322.15pt;margin-top:4.3pt;width:156pt;height:113.1pt;z-index:251678720" stroked="f">
            <v:textbox>
              <w:txbxContent>
                <w:p w:rsidR="00836379" w:rsidRDefault="00836379">
                  <w:r>
                    <w:rPr>
                      <w:noProof/>
                      <w:lang w:eastAsia="fr-FR"/>
                    </w:rPr>
                    <w:drawing>
                      <wp:inline distT="0" distB="0" distL="0" distR="0">
                        <wp:extent cx="1771650" cy="1345904"/>
                        <wp:effectExtent l="1905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srcRect/>
                                <a:stretch>
                                  <a:fillRect/>
                                </a:stretch>
                              </pic:blipFill>
                              <pic:spPr bwMode="auto">
                                <a:xfrm>
                                  <a:off x="0" y="0"/>
                                  <a:ext cx="1772822" cy="1346794"/>
                                </a:xfrm>
                                <a:prstGeom prst="rect">
                                  <a:avLst/>
                                </a:prstGeom>
                                <a:noFill/>
                                <a:ln w="9525">
                                  <a:noFill/>
                                  <a:miter lim="800000"/>
                                  <a:headEnd/>
                                  <a:tailEnd/>
                                </a:ln>
                              </pic:spPr>
                            </pic:pic>
                          </a:graphicData>
                        </a:graphic>
                      </wp:inline>
                    </w:drawing>
                  </w:r>
                </w:p>
              </w:txbxContent>
            </v:textbox>
          </v:shape>
        </w:pict>
      </w:r>
      <w:r>
        <w:rPr>
          <w:noProof/>
          <w:lang w:eastAsia="fr-FR"/>
        </w:rPr>
        <w:pict>
          <v:shape id="_x0000_s1065" type="#_x0000_t202" style="position:absolute;left:0;text-align:left;margin-left:151.15pt;margin-top:10.75pt;width:146.25pt;height:106.65pt;z-index:251671552" filled="f" stroked="f">
            <v:textbox>
              <w:txbxContent>
                <w:p w:rsidR="00836379" w:rsidRDefault="00836379">
                  <w:r w:rsidRPr="00EA61B9">
                    <w:rPr>
                      <w:noProof/>
                      <w:lang w:eastAsia="fr-FR"/>
                    </w:rPr>
                    <w:drawing>
                      <wp:inline distT="0" distB="0" distL="0" distR="0">
                        <wp:extent cx="1840786" cy="1228725"/>
                        <wp:effectExtent l="19050" t="0" r="7064" b="0"/>
                        <wp:docPr id="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1838817" cy="1227410"/>
                                </a:xfrm>
                                <a:prstGeom prst="rect">
                                  <a:avLst/>
                                </a:prstGeom>
                                <a:noFill/>
                                <a:ln w="9525">
                                  <a:noFill/>
                                  <a:miter lim="800000"/>
                                  <a:headEnd/>
                                  <a:tailEnd/>
                                </a:ln>
                              </pic:spPr>
                            </pic:pic>
                          </a:graphicData>
                        </a:graphic>
                      </wp:inline>
                    </w:drawing>
                  </w:r>
                </w:p>
              </w:txbxContent>
            </v:textbox>
          </v:shape>
        </w:pict>
      </w:r>
      <w:r>
        <w:rPr>
          <w:noProof/>
          <w:lang w:eastAsia="fr-FR"/>
        </w:rPr>
        <w:pict>
          <v:shape id="_x0000_s1084" type="#_x0000_t202" style="position:absolute;left:0;text-align:left;margin-left:11.65pt;margin-top:.4pt;width:113.25pt;height:127.35pt;z-index:251676672">
            <v:textbox>
              <w:txbxContent>
                <w:p w:rsidR="00836379" w:rsidRDefault="00836379">
                  <w:r w:rsidRPr="00407ED1">
                    <w:rPr>
                      <w:noProof/>
                      <w:lang w:eastAsia="fr-FR"/>
                    </w:rPr>
                    <w:drawing>
                      <wp:inline distT="0" distB="0" distL="0" distR="0">
                        <wp:extent cx="1245870" cy="1604681"/>
                        <wp:effectExtent l="19050" t="0" r="0" b="0"/>
                        <wp:docPr id="1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srcRect/>
                                <a:stretch>
                                  <a:fillRect/>
                                </a:stretch>
                              </pic:blipFill>
                              <pic:spPr bwMode="auto">
                                <a:xfrm>
                                  <a:off x="0" y="0"/>
                                  <a:ext cx="1245870" cy="1604681"/>
                                </a:xfrm>
                                <a:prstGeom prst="rect">
                                  <a:avLst/>
                                </a:prstGeom>
                                <a:noFill/>
                                <a:ln w="9525">
                                  <a:noFill/>
                                  <a:miter lim="800000"/>
                                  <a:headEnd/>
                                  <a:tailEnd/>
                                </a:ln>
                              </pic:spPr>
                            </pic:pic>
                          </a:graphicData>
                        </a:graphic>
                      </wp:inline>
                    </w:drawing>
                  </w:r>
                </w:p>
              </w:txbxContent>
            </v:textbox>
          </v:shape>
        </w:pict>
      </w:r>
      <w:r w:rsidR="00EA61B9">
        <w:t xml:space="preserve">                                        </w:t>
      </w:r>
    </w:p>
    <w:p w:rsidR="00C8079D" w:rsidRDefault="00C8079D" w:rsidP="003D37B6">
      <w:pPr>
        <w:spacing w:after="0"/>
        <w:jc w:val="right"/>
      </w:pPr>
    </w:p>
    <w:p w:rsidR="00407ED1" w:rsidRDefault="00407ED1" w:rsidP="003D37B6">
      <w:pPr>
        <w:spacing w:after="0"/>
        <w:jc w:val="right"/>
      </w:pPr>
    </w:p>
    <w:p w:rsidR="00407ED1" w:rsidRDefault="00407ED1" w:rsidP="003D37B6">
      <w:pPr>
        <w:spacing w:after="0"/>
        <w:jc w:val="right"/>
      </w:pPr>
    </w:p>
    <w:p w:rsidR="00407ED1" w:rsidRDefault="00407ED1" w:rsidP="003D37B6">
      <w:pPr>
        <w:spacing w:after="0"/>
        <w:jc w:val="right"/>
      </w:pPr>
    </w:p>
    <w:p w:rsidR="00407ED1" w:rsidRDefault="00407ED1" w:rsidP="003D37B6">
      <w:pPr>
        <w:spacing w:after="0"/>
        <w:jc w:val="right"/>
      </w:pPr>
    </w:p>
    <w:p w:rsidR="00407ED1" w:rsidRDefault="00407ED1" w:rsidP="003D37B6">
      <w:pPr>
        <w:spacing w:after="0"/>
        <w:jc w:val="right"/>
      </w:pPr>
    </w:p>
    <w:p w:rsidR="00407ED1" w:rsidRDefault="001176CF" w:rsidP="003D37B6">
      <w:pPr>
        <w:spacing w:after="0"/>
        <w:jc w:val="right"/>
      </w:pPr>
      <w:r w:rsidRPr="001176CF">
        <w:rPr>
          <w:noProof/>
          <w:u w:val="single"/>
          <w:lang w:eastAsia="fr-FR"/>
        </w:rPr>
        <w:pict>
          <v:shape id="_x0000_s1087" type="#_x0000_t202" style="position:absolute;left:0;text-align:left;margin-left:338.65pt;margin-top:.45pt;width:130.5pt;height:31.5pt;z-index:251679744" filled="f" stroked="f">
            <v:textbox>
              <w:txbxContent>
                <w:p w:rsidR="00836379" w:rsidRDefault="00836379" w:rsidP="00407ED1">
                  <w:pPr>
                    <w:jc w:val="center"/>
                  </w:pPr>
                  <w:r>
                    <w:t>gousses de séné</w:t>
                  </w:r>
                </w:p>
              </w:txbxContent>
            </v:textbox>
          </v:shape>
        </w:pict>
      </w:r>
      <w:r>
        <w:rPr>
          <w:noProof/>
          <w:lang w:eastAsia="fr-FR"/>
        </w:rPr>
        <w:pict>
          <v:shape id="_x0000_s1085" type="#_x0000_t202" style="position:absolute;left:0;text-align:left;margin-left:157.9pt;margin-top:4.8pt;width:130.5pt;height:31.5pt;z-index:251677696" filled="f" stroked="f">
            <v:textbox>
              <w:txbxContent>
                <w:p w:rsidR="00836379" w:rsidRDefault="00836379" w:rsidP="00407ED1">
                  <w:pPr>
                    <w:jc w:val="center"/>
                  </w:pPr>
                  <w:r>
                    <w:t>Folioles de séné</w:t>
                  </w:r>
                </w:p>
              </w:txbxContent>
            </v:textbox>
          </v:shape>
        </w:pict>
      </w:r>
    </w:p>
    <w:p w:rsidR="00407ED1" w:rsidRDefault="00407ED1" w:rsidP="003D37B6">
      <w:pPr>
        <w:spacing w:after="0"/>
        <w:jc w:val="right"/>
      </w:pPr>
    </w:p>
    <w:p w:rsidR="00581F3A" w:rsidRDefault="00E25C11" w:rsidP="00E25C11">
      <w:pPr>
        <w:jc w:val="both"/>
      </w:pPr>
      <w:r w:rsidRPr="00E25C11">
        <w:rPr>
          <w:u w:val="single"/>
        </w:rPr>
        <w:t>La plante</w:t>
      </w:r>
      <w:r w:rsidR="002F2CD2">
        <w:t> </w:t>
      </w:r>
      <w:r>
        <w:t>: c’est un sous arbrisseaux à feuilles composées lancéolées paripennées, à fleurs de couleur jaunes, le fruit est une gousse aplatie parcheminée de 6 à 8 graines.</w:t>
      </w:r>
    </w:p>
    <w:p w:rsidR="00E25C11" w:rsidRDefault="00E25C11" w:rsidP="00FF36A8">
      <w:pPr>
        <w:spacing w:after="0"/>
        <w:jc w:val="both"/>
      </w:pPr>
      <w:r w:rsidRPr="008375DD">
        <w:rPr>
          <w:u w:val="single"/>
        </w:rPr>
        <w:t>La drogue</w:t>
      </w:r>
      <w:r w:rsidR="002F2CD2">
        <w:t> </w:t>
      </w:r>
      <w:r w:rsidR="00423AD7">
        <w:t>: folioles et fruits séché</w:t>
      </w:r>
      <w:r>
        <w:t>s cultivés au Soudan, en Inde et au Pakistan</w:t>
      </w:r>
    </w:p>
    <w:p w:rsidR="00FF36A8" w:rsidRDefault="00FF36A8" w:rsidP="00FF36A8">
      <w:pPr>
        <w:spacing w:after="0"/>
        <w:jc w:val="both"/>
      </w:pPr>
      <w:r w:rsidRPr="00FF36A8">
        <w:t>Du point de vue macroscopique</w:t>
      </w:r>
      <w:r w:rsidR="008375DD" w:rsidRPr="00FF36A8">
        <w:t xml:space="preserve"> les</w:t>
      </w:r>
      <w:r w:rsidR="008375DD">
        <w:t xml:space="preserve"> folioles de l’Inde s</w:t>
      </w:r>
      <w:r>
        <w:t>ont plus grandes que celles de Khartoum.</w:t>
      </w:r>
    </w:p>
    <w:p w:rsidR="008375DD" w:rsidRDefault="00FF36A8" w:rsidP="00FF36A8">
      <w:pPr>
        <w:jc w:val="both"/>
      </w:pPr>
      <w:r>
        <w:t xml:space="preserve">Du point de vue microscopique, </w:t>
      </w:r>
      <w:r w:rsidR="008D048C">
        <w:t xml:space="preserve">présence </w:t>
      </w:r>
      <w:r>
        <w:t xml:space="preserve">dans </w:t>
      </w:r>
      <w:r w:rsidR="008D048C">
        <w:t xml:space="preserve">la poudre des feuilles </w:t>
      </w:r>
      <w:r>
        <w:t xml:space="preserve">de </w:t>
      </w:r>
      <w:r w:rsidRPr="00FF36A8">
        <w:rPr>
          <w:b/>
          <w:bCs/>
        </w:rPr>
        <w:t>poils tecteurs</w:t>
      </w:r>
      <w:r>
        <w:t xml:space="preserve"> unicellulaires à paroi verruqueuse, de</w:t>
      </w:r>
      <w:r w:rsidR="00423AD7">
        <w:t>s</w:t>
      </w:r>
      <w:r>
        <w:t xml:space="preserve"> cellules épidermiques polygonales à </w:t>
      </w:r>
      <w:r w:rsidRPr="00FF36A8">
        <w:rPr>
          <w:b/>
          <w:bCs/>
        </w:rPr>
        <w:t>stomates paracytiques</w:t>
      </w:r>
      <w:r>
        <w:t xml:space="preserve"> et de nombreuses fibres accompagnées </w:t>
      </w:r>
      <w:r w:rsidR="008D048C">
        <w:t xml:space="preserve">de </w:t>
      </w:r>
      <w:r w:rsidRPr="00FF36A8">
        <w:rPr>
          <w:b/>
          <w:bCs/>
        </w:rPr>
        <w:t>prismes</w:t>
      </w:r>
      <w:r>
        <w:t xml:space="preserve"> d’oxalate de Calcium.  </w:t>
      </w:r>
      <w:r w:rsidR="008375DD">
        <w:t xml:space="preserve"> </w:t>
      </w:r>
    </w:p>
    <w:p w:rsidR="00FF36A8" w:rsidRDefault="00FF36A8" w:rsidP="00FF36A8">
      <w:pPr>
        <w:spacing w:after="0"/>
        <w:jc w:val="both"/>
      </w:pPr>
      <w:r w:rsidRPr="00FF36A8">
        <w:rPr>
          <w:u w:val="single"/>
        </w:rPr>
        <w:t>Composition chimique</w:t>
      </w:r>
      <w:r w:rsidR="002F2CD2">
        <w:t> </w:t>
      </w:r>
      <w:r>
        <w:t xml:space="preserve">: </w:t>
      </w:r>
    </w:p>
    <w:p w:rsidR="00FF36A8" w:rsidRDefault="00E2207E" w:rsidP="00FF36A8">
      <w:pPr>
        <w:spacing w:after="0"/>
        <w:jc w:val="both"/>
      </w:pPr>
      <w:r>
        <w:t>Composés mineurs</w:t>
      </w:r>
      <w:r w:rsidR="002F2CD2">
        <w:t> </w:t>
      </w:r>
      <w:r w:rsidR="00FF36A8">
        <w:t xml:space="preserve">: eau, matières minérales, polysaccharides, </w:t>
      </w:r>
      <w:r w:rsidR="00857D61">
        <w:t>flavonoïdes, polyols</w:t>
      </w:r>
    </w:p>
    <w:p w:rsidR="00857D61" w:rsidRDefault="00857D61" w:rsidP="00FF36A8">
      <w:pPr>
        <w:spacing w:after="0"/>
        <w:jc w:val="both"/>
      </w:pPr>
      <w:r>
        <w:t>Principes actifs</w:t>
      </w:r>
      <w:r w:rsidR="002F2CD2">
        <w:t> </w:t>
      </w:r>
      <w:r>
        <w:t xml:space="preserve">: </w:t>
      </w:r>
      <w:r w:rsidRPr="00423AD7">
        <w:rPr>
          <w:b/>
          <w:bCs/>
        </w:rPr>
        <w:t>2 à 5%</w:t>
      </w:r>
      <w:r>
        <w:t xml:space="preserve"> de dérivés hydroxyanthracéniques représentés par</w:t>
      </w:r>
      <w:r w:rsidR="002F2CD2">
        <w:t> </w:t>
      </w:r>
      <w:r>
        <w:t>:</w:t>
      </w:r>
    </w:p>
    <w:p w:rsidR="00857D61" w:rsidRDefault="00857D61" w:rsidP="00857D61">
      <w:pPr>
        <w:pStyle w:val="Paragraphedeliste"/>
        <w:numPr>
          <w:ilvl w:val="0"/>
          <w:numId w:val="8"/>
        </w:numPr>
        <w:spacing w:after="0"/>
        <w:jc w:val="both"/>
      </w:pPr>
      <w:r>
        <w:t>faible proportion de formes libres  (rhéine, aloe-émodol, chrysophanol)</w:t>
      </w:r>
    </w:p>
    <w:p w:rsidR="00857D61" w:rsidRDefault="00857D61" w:rsidP="00857D61">
      <w:pPr>
        <w:pStyle w:val="Paragraphedeliste"/>
        <w:numPr>
          <w:ilvl w:val="0"/>
          <w:numId w:val="8"/>
        </w:numPr>
        <w:spacing w:after="0"/>
        <w:jc w:val="both"/>
      </w:pPr>
      <w:r>
        <w:t>80 à 90%  d’hétérosides de dianthrones (Sennosides A, B, C et D)</w:t>
      </w:r>
    </w:p>
    <w:p w:rsidR="00857D61" w:rsidRDefault="00857D61" w:rsidP="00857D61">
      <w:pPr>
        <w:pStyle w:val="Paragraphedeliste"/>
        <w:spacing w:after="0"/>
        <w:jc w:val="both"/>
      </w:pPr>
    </w:p>
    <w:p w:rsidR="00857D61" w:rsidRDefault="00F73A98" w:rsidP="00857D61">
      <w:pPr>
        <w:spacing w:after="0"/>
        <w:ind w:left="360"/>
        <w:jc w:val="center"/>
      </w:pPr>
      <w:r>
        <w:object w:dxaOrig="3195" w:dyaOrig="3645">
          <v:shape id="_x0000_i1036" type="#_x0000_t75" style="width:88.5pt;height:100.5pt" o:ole="">
            <v:imagedata r:id="rId18" o:title=""/>
          </v:shape>
          <o:OLEObject Type="Embed" ProgID="ISISServer" ShapeID="_x0000_i1036" DrawAspect="Content" ObjectID="_1487960956" r:id="rId37"/>
        </w:object>
      </w:r>
      <w:r w:rsidR="00857D61">
        <w:t xml:space="preserve">                                   </w:t>
      </w:r>
      <w:r>
        <w:object w:dxaOrig="3269" w:dyaOrig="3660">
          <v:shape id="_x0000_i1037" type="#_x0000_t75" style="width:90pt;height:100.5pt" o:ole="">
            <v:imagedata r:id="rId20" o:title=""/>
          </v:shape>
          <o:OLEObject Type="Embed" ProgID="ISISServer" ShapeID="_x0000_i1037" DrawAspect="Content" ObjectID="_1487960957" r:id="rId38"/>
        </w:object>
      </w:r>
    </w:p>
    <w:p w:rsidR="00BB63D5" w:rsidRDefault="00081654" w:rsidP="00081654">
      <w:pPr>
        <w:spacing w:after="0"/>
        <w:ind w:left="360"/>
        <w:jc w:val="both"/>
      </w:pPr>
      <w:r w:rsidRPr="00081654">
        <w:rPr>
          <w:u w:val="single"/>
        </w:rPr>
        <w:t>Emplois</w:t>
      </w:r>
      <w:r w:rsidR="002F2CD2">
        <w:rPr>
          <w:u w:val="single"/>
        </w:rPr>
        <w:t> </w:t>
      </w:r>
      <w:r>
        <w:t xml:space="preserve">: </w:t>
      </w:r>
    </w:p>
    <w:p w:rsidR="00081654" w:rsidRDefault="00BB63D5" w:rsidP="00BB63D5">
      <w:pPr>
        <w:spacing w:after="0"/>
        <w:jc w:val="both"/>
      </w:pPr>
      <w:r>
        <w:t>L</w:t>
      </w:r>
      <w:r w:rsidR="00081654">
        <w:t>es sénés sont actuellement les purgatifs anthracéniques les plus utilisés soit</w:t>
      </w:r>
      <w:r w:rsidR="002F2CD2">
        <w:t> </w:t>
      </w:r>
      <w:r w:rsidR="00081654">
        <w:t>:</w:t>
      </w:r>
    </w:p>
    <w:p w:rsidR="00081654" w:rsidRDefault="00081654" w:rsidP="00081654">
      <w:pPr>
        <w:pStyle w:val="Paragraphedeliste"/>
        <w:numPr>
          <w:ilvl w:val="0"/>
          <w:numId w:val="9"/>
        </w:numPr>
        <w:spacing w:after="0"/>
        <w:jc w:val="both"/>
      </w:pPr>
      <w:r>
        <w:t>En nature (infusion simple ou composé</w:t>
      </w:r>
      <w:r w:rsidR="00423AD7">
        <w:t>e</w:t>
      </w:r>
      <w:r>
        <w:t>)</w:t>
      </w:r>
    </w:p>
    <w:p w:rsidR="00C8079D" w:rsidRDefault="00081654" w:rsidP="00C8079D">
      <w:pPr>
        <w:pStyle w:val="Paragraphedeliste"/>
        <w:numPr>
          <w:ilvl w:val="0"/>
          <w:numId w:val="9"/>
        </w:numPr>
        <w:spacing w:after="0"/>
        <w:jc w:val="both"/>
      </w:pPr>
      <w:r>
        <w:t>En forme galénique (poudre et  extrait titré en sennosides)</w:t>
      </w:r>
      <w:r w:rsidR="002F2CD2">
        <w:t> </w:t>
      </w:r>
      <w:r w:rsidR="00C8079D">
        <w:t>: ARKOGELLULES SENE® gél, BOL</w:t>
      </w:r>
      <w:r w:rsidR="00423AD7">
        <w:t>DOFLORINE® cpr, HERBESAN®</w:t>
      </w:r>
      <w:r w:rsidR="00C8079D">
        <w:t xml:space="preserve">, IDEOLAXYL® cpr, SENEKOT ® cpr (poudre de fruit), TAMARINE® gél, VEGELAX® cpr. </w:t>
      </w:r>
    </w:p>
    <w:p w:rsidR="00081654" w:rsidRDefault="00081654" w:rsidP="00081654">
      <w:pPr>
        <w:pStyle w:val="Paragraphedeliste"/>
        <w:numPr>
          <w:ilvl w:val="0"/>
          <w:numId w:val="9"/>
        </w:numPr>
        <w:spacing w:after="0"/>
        <w:jc w:val="both"/>
      </w:pPr>
      <w:r>
        <w:t>Pour l’extraction des sennosides</w:t>
      </w:r>
      <w:r w:rsidR="002F2CD2">
        <w:t> </w:t>
      </w:r>
      <w:r w:rsidR="00C8079D">
        <w:t>: PURSENNIDE®</w:t>
      </w:r>
      <w:r w:rsidR="006C33B9">
        <w:t>cpr</w:t>
      </w:r>
      <w:r w:rsidR="00C8079D">
        <w:t xml:space="preserve"> (sennosides A et B pur)</w:t>
      </w:r>
    </w:p>
    <w:p w:rsidR="00C8079D" w:rsidRDefault="00BB63D5" w:rsidP="00C8079D">
      <w:pPr>
        <w:spacing w:after="0"/>
        <w:jc w:val="both"/>
        <w:rPr>
          <w:b/>
          <w:bCs/>
        </w:rPr>
      </w:pPr>
      <w:r>
        <w:t xml:space="preserve">La dose usuelle journalière calculée en sennosides est de </w:t>
      </w:r>
      <w:r w:rsidRPr="00BB63D5">
        <w:rPr>
          <w:b/>
          <w:bCs/>
        </w:rPr>
        <w:t>25mg/jr</w:t>
      </w:r>
    </w:p>
    <w:p w:rsidR="00BB63D5" w:rsidRDefault="00BB63D5" w:rsidP="00C8079D">
      <w:pPr>
        <w:spacing w:after="0"/>
        <w:jc w:val="both"/>
      </w:pPr>
    </w:p>
    <w:p w:rsidR="00081654" w:rsidRPr="002F2CD2" w:rsidRDefault="002F2CD2" w:rsidP="002F2CD2">
      <w:pPr>
        <w:spacing w:after="0"/>
        <w:ind w:left="360"/>
        <w:jc w:val="center"/>
        <w:rPr>
          <w:b/>
          <w:bCs/>
          <w:sz w:val="24"/>
          <w:szCs w:val="24"/>
        </w:rPr>
      </w:pPr>
      <w:r w:rsidRPr="002F2CD2">
        <w:rPr>
          <w:b/>
          <w:bCs/>
          <w:sz w:val="24"/>
          <w:szCs w:val="24"/>
        </w:rPr>
        <w:t>Famille des Rhamnacées</w:t>
      </w:r>
    </w:p>
    <w:p w:rsidR="002F2CD2" w:rsidRDefault="002F2CD2" w:rsidP="002F2CD2">
      <w:pPr>
        <w:spacing w:after="0"/>
        <w:ind w:left="360"/>
        <w:jc w:val="center"/>
      </w:pPr>
      <w:r w:rsidRPr="002F2CD2">
        <w:rPr>
          <w:highlight w:val="yellow"/>
        </w:rPr>
        <w:t>Bourdaine</w:t>
      </w:r>
      <w:r>
        <w:t xml:space="preserve"> : </w:t>
      </w:r>
      <w:r w:rsidRPr="002F2CD2">
        <w:rPr>
          <w:i/>
          <w:iCs/>
        </w:rPr>
        <w:t>Rhamnus frangula</w:t>
      </w:r>
      <w:r>
        <w:t xml:space="preserve"> L</w:t>
      </w:r>
    </w:p>
    <w:p w:rsidR="002F2CD2" w:rsidRDefault="001176CF" w:rsidP="002F2CD2">
      <w:pPr>
        <w:spacing w:after="0"/>
        <w:ind w:left="360"/>
        <w:jc w:val="center"/>
      </w:pPr>
      <w:r>
        <w:rPr>
          <w:noProof/>
          <w:lang w:eastAsia="fr-FR"/>
        </w:rPr>
        <w:pict>
          <v:shape id="_x0000_s1081" type="#_x0000_t202" style="position:absolute;left:0;text-align:left;margin-left:21.4pt;margin-top:13.95pt;width:2in;height:117.75pt;z-index:251673600" filled="f" stroked="f">
            <v:textbox style="mso-next-textbox:#_x0000_s1081">
              <w:txbxContent>
                <w:p w:rsidR="00836379" w:rsidRDefault="00836379">
                  <w:r w:rsidRPr="000142F2">
                    <w:rPr>
                      <w:noProof/>
                      <w:lang w:eastAsia="fr-FR"/>
                    </w:rPr>
                    <w:drawing>
                      <wp:inline distT="0" distB="0" distL="0" distR="0">
                        <wp:extent cx="1590675" cy="1320745"/>
                        <wp:effectExtent l="19050" t="0" r="9525" b="0"/>
                        <wp:docPr id="7"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srcRect/>
                                <a:stretch>
                                  <a:fillRect/>
                                </a:stretch>
                              </pic:blipFill>
                              <pic:spPr bwMode="auto">
                                <a:xfrm>
                                  <a:off x="0" y="0"/>
                                  <a:ext cx="1597591" cy="1326487"/>
                                </a:xfrm>
                                <a:prstGeom prst="rect">
                                  <a:avLst/>
                                </a:prstGeom>
                                <a:noFill/>
                                <a:ln w="9525">
                                  <a:noFill/>
                                  <a:miter lim="800000"/>
                                  <a:headEnd/>
                                  <a:tailEnd/>
                                </a:ln>
                              </pic:spPr>
                            </pic:pic>
                          </a:graphicData>
                        </a:graphic>
                      </wp:inline>
                    </w:drawing>
                  </w:r>
                </w:p>
              </w:txbxContent>
            </v:textbox>
          </v:shape>
        </w:pict>
      </w:r>
      <w:r w:rsidR="002F2CD2" w:rsidRPr="002F2CD2">
        <w:rPr>
          <w:highlight w:val="yellow"/>
        </w:rPr>
        <w:t>Cascara</w:t>
      </w:r>
      <w:r w:rsidR="002F2CD2">
        <w:t xml:space="preserve"> : </w:t>
      </w:r>
      <w:r w:rsidR="002F2CD2" w:rsidRPr="002F2CD2">
        <w:rPr>
          <w:i/>
          <w:iCs/>
        </w:rPr>
        <w:t>Rhamnus purshiana</w:t>
      </w:r>
      <w:r w:rsidR="002F2CD2">
        <w:t xml:space="preserve"> D.C</w:t>
      </w:r>
    </w:p>
    <w:p w:rsidR="005021CB" w:rsidRPr="005021CB" w:rsidRDefault="001176CF" w:rsidP="000142F2">
      <w:pPr>
        <w:spacing w:after="0"/>
        <w:jc w:val="both"/>
      </w:pPr>
      <w:r>
        <w:rPr>
          <w:noProof/>
          <w:lang w:eastAsia="fr-FR"/>
        </w:rPr>
        <w:pict>
          <v:shape id="_x0000_s1080" type="#_x0000_t202" style="position:absolute;left:0;text-align:left;margin-left:276.25pt;margin-top:.9pt;width:150pt;height:117.75pt;z-index:251672576" filled="f" stroked="f">
            <v:textbox>
              <w:txbxContent>
                <w:p w:rsidR="00836379" w:rsidRDefault="00836379">
                  <w:r w:rsidRPr="000142F2">
                    <w:rPr>
                      <w:noProof/>
                      <w:lang w:eastAsia="fr-FR"/>
                    </w:rPr>
                    <w:drawing>
                      <wp:inline distT="0" distB="0" distL="0" distR="0">
                        <wp:extent cx="1641810" cy="1247775"/>
                        <wp:effectExtent l="19050" t="0" r="0" b="0"/>
                        <wp:docPr id="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srcRect/>
                                <a:stretch>
                                  <a:fillRect/>
                                </a:stretch>
                              </pic:blipFill>
                              <pic:spPr bwMode="auto">
                                <a:xfrm>
                                  <a:off x="0" y="0"/>
                                  <a:ext cx="1642293" cy="1248142"/>
                                </a:xfrm>
                                <a:prstGeom prst="rect">
                                  <a:avLst/>
                                </a:prstGeom>
                                <a:noFill/>
                                <a:ln w="9525">
                                  <a:noFill/>
                                  <a:miter lim="800000"/>
                                  <a:headEnd/>
                                  <a:tailEnd/>
                                </a:ln>
                              </pic:spPr>
                            </pic:pic>
                          </a:graphicData>
                        </a:graphic>
                      </wp:inline>
                    </w:drawing>
                  </w:r>
                </w:p>
              </w:txbxContent>
            </v:textbox>
          </v:shape>
        </w:pict>
      </w:r>
      <w:r w:rsidR="005021CB" w:rsidRPr="005021CB">
        <w:t xml:space="preserve">                                                                           </w:t>
      </w:r>
      <w:r w:rsidR="005021CB">
        <w:t xml:space="preserve">                      </w:t>
      </w:r>
    </w:p>
    <w:p w:rsidR="000142F2" w:rsidRDefault="000142F2" w:rsidP="00BB63D5">
      <w:pPr>
        <w:spacing w:after="0"/>
        <w:jc w:val="both"/>
        <w:rPr>
          <w:u w:val="single"/>
        </w:rPr>
      </w:pPr>
    </w:p>
    <w:p w:rsidR="000142F2" w:rsidRDefault="000142F2" w:rsidP="00BB63D5">
      <w:pPr>
        <w:spacing w:after="0"/>
        <w:jc w:val="both"/>
        <w:rPr>
          <w:u w:val="single"/>
        </w:rPr>
      </w:pPr>
    </w:p>
    <w:p w:rsidR="000142F2" w:rsidRDefault="000142F2" w:rsidP="00BB63D5">
      <w:pPr>
        <w:spacing w:after="0"/>
        <w:jc w:val="both"/>
        <w:rPr>
          <w:u w:val="single"/>
        </w:rPr>
      </w:pPr>
    </w:p>
    <w:p w:rsidR="000142F2" w:rsidRDefault="000142F2" w:rsidP="00BB63D5">
      <w:pPr>
        <w:spacing w:after="0"/>
        <w:jc w:val="both"/>
        <w:rPr>
          <w:u w:val="single"/>
        </w:rPr>
      </w:pPr>
    </w:p>
    <w:p w:rsidR="000142F2" w:rsidRDefault="000142F2" w:rsidP="00BB63D5">
      <w:pPr>
        <w:spacing w:after="0"/>
        <w:jc w:val="both"/>
        <w:rPr>
          <w:u w:val="single"/>
        </w:rPr>
      </w:pPr>
    </w:p>
    <w:p w:rsidR="000142F2" w:rsidRDefault="001176CF" w:rsidP="00BB63D5">
      <w:pPr>
        <w:spacing w:after="0"/>
        <w:jc w:val="both"/>
        <w:rPr>
          <w:u w:val="single"/>
        </w:rPr>
      </w:pPr>
      <w:r>
        <w:rPr>
          <w:noProof/>
          <w:u w:val="single"/>
          <w:lang w:eastAsia="fr-FR"/>
        </w:rPr>
        <w:pict>
          <v:shape id="_x0000_s1083" type="#_x0000_t202" style="position:absolute;left:0;text-align:left;margin-left:298.9pt;margin-top:9.35pt;width:130.5pt;height:31.5pt;z-index:251675648" filled="f" stroked="f">
            <v:textbox>
              <w:txbxContent>
                <w:p w:rsidR="00836379" w:rsidRDefault="00836379" w:rsidP="000142F2">
                  <w:r>
                    <w:t>Écorce de cascara</w:t>
                  </w:r>
                </w:p>
              </w:txbxContent>
            </v:textbox>
          </v:shape>
        </w:pict>
      </w:r>
      <w:r>
        <w:rPr>
          <w:noProof/>
          <w:u w:val="single"/>
          <w:lang w:eastAsia="fr-FR"/>
        </w:rPr>
        <w:pict>
          <v:shape id="_x0000_s1082" type="#_x0000_t202" style="position:absolute;left:0;text-align:left;margin-left:38.65pt;margin-top:13.1pt;width:130.5pt;height:31.5pt;z-index:251674624" filled="f" stroked="f">
            <v:textbox>
              <w:txbxContent>
                <w:p w:rsidR="00836379" w:rsidRDefault="00836379">
                  <w:r>
                    <w:t>Écorce de bourdaine</w:t>
                  </w:r>
                </w:p>
              </w:txbxContent>
            </v:textbox>
          </v:shape>
        </w:pict>
      </w:r>
    </w:p>
    <w:p w:rsidR="000142F2" w:rsidRDefault="000142F2" w:rsidP="00BB63D5">
      <w:pPr>
        <w:spacing w:after="0"/>
        <w:jc w:val="both"/>
        <w:rPr>
          <w:u w:val="single"/>
        </w:rPr>
      </w:pPr>
    </w:p>
    <w:p w:rsidR="00F73A98" w:rsidRDefault="00F73A98" w:rsidP="00BB63D5">
      <w:pPr>
        <w:spacing w:after="0"/>
        <w:jc w:val="both"/>
        <w:rPr>
          <w:u w:val="single"/>
        </w:rPr>
      </w:pPr>
    </w:p>
    <w:p w:rsidR="002F2CD2" w:rsidRDefault="002F2CD2" w:rsidP="00BB63D5">
      <w:pPr>
        <w:spacing w:after="0"/>
        <w:jc w:val="both"/>
      </w:pPr>
      <w:r w:rsidRPr="002F2CD2">
        <w:rPr>
          <w:u w:val="single"/>
        </w:rPr>
        <w:t>La plante</w:t>
      </w:r>
      <w:r>
        <w:t> :</w:t>
      </w:r>
    </w:p>
    <w:p w:rsidR="002F2CD2" w:rsidRDefault="002F2CD2" w:rsidP="00BB63D5">
      <w:pPr>
        <w:spacing w:after="0"/>
        <w:jc w:val="both"/>
      </w:pPr>
      <w:r>
        <w:t xml:space="preserve">La </w:t>
      </w:r>
      <w:r w:rsidRPr="002F2CD2">
        <w:rPr>
          <w:b/>
          <w:bCs/>
        </w:rPr>
        <w:t>bourdaine</w:t>
      </w:r>
      <w:r>
        <w:t xml:space="preserve"> est un arbuste originaire d’Europe, à feuilles caduques, ovale et alterne, à écorce brune et à fleurs blanches, le fruit est une petite drupe noire à maturité.</w:t>
      </w:r>
    </w:p>
    <w:p w:rsidR="002F2CD2" w:rsidRDefault="002F2CD2" w:rsidP="00BB63D5">
      <w:pPr>
        <w:jc w:val="both"/>
      </w:pPr>
      <w:r>
        <w:t xml:space="preserve">Le </w:t>
      </w:r>
      <w:r w:rsidRPr="002F2CD2">
        <w:rPr>
          <w:b/>
          <w:bCs/>
        </w:rPr>
        <w:t>cascara</w:t>
      </w:r>
      <w:r>
        <w:t xml:space="preserve"> petite arbre ressemblant à la bourdaine originaire des Etats Unis.</w:t>
      </w:r>
    </w:p>
    <w:p w:rsidR="002F2CD2" w:rsidRDefault="002F2CD2" w:rsidP="00BB63D5">
      <w:pPr>
        <w:jc w:val="both"/>
      </w:pPr>
      <w:r w:rsidRPr="002F2CD2">
        <w:rPr>
          <w:u w:val="single"/>
        </w:rPr>
        <w:t>La drogue</w:t>
      </w:r>
      <w:r>
        <w:t> : écorces desséchées des tiges et des branches</w:t>
      </w:r>
      <w:r w:rsidR="009B7791">
        <w:t>, stockées après une année de conservation ou après chauffage à 100°C pdt 1h.</w:t>
      </w:r>
    </w:p>
    <w:p w:rsidR="00BB63D5" w:rsidRDefault="00BB63D5" w:rsidP="00BB63D5">
      <w:pPr>
        <w:jc w:val="both"/>
      </w:pPr>
      <w:r>
        <w:rPr>
          <w:b/>
          <w:bCs/>
        </w:rPr>
        <w:t>L</w:t>
      </w:r>
      <w:r w:rsidRPr="00BB63D5">
        <w:rPr>
          <w:b/>
          <w:bCs/>
        </w:rPr>
        <w:t>’</w:t>
      </w:r>
      <w:r>
        <w:rPr>
          <w:b/>
          <w:bCs/>
        </w:rPr>
        <w:t>écorce</w:t>
      </w:r>
      <w:r w:rsidRPr="00BB63D5">
        <w:rPr>
          <w:b/>
          <w:bCs/>
        </w:rPr>
        <w:t xml:space="preserve"> de bourdaine</w:t>
      </w:r>
      <w:r>
        <w:rPr>
          <w:b/>
          <w:bCs/>
        </w:rPr>
        <w:t>,</w:t>
      </w:r>
      <w:r>
        <w:t xml:space="preserve"> d</w:t>
      </w:r>
      <w:r w:rsidR="00423AD7">
        <w:t>u point de vue macroscopique</w:t>
      </w:r>
      <w:r>
        <w:t>, est de 1mm de diamètre à surface externe gris brunâtre recouverte de lenticelle</w:t>
      </w:r>
      <w:r w:rsidR="00423AD7">
        <w:t>s</w:t>
      </w:r>
      <w:r>
        <w:t>, à face interne striée longitudinalement.  Du point de vue microscopique, absence d’élément scléreux dans le parenchyme cortical et présence de poches à mucilage.</w:t>
      </w:r>
    </w:p>
    <w:p w:rsidR="00E2207E" w:rsidRDefault="00BB63D5" w:rsidP="00E2207E">
      <w:pPr>
        <w:jc w:val="both"/>
      </w:pPr>
      <w:r>
        <w:rPr>
          <w:b/>
          <w:bCs/>
        </w:rPr>
        <w:t>L</w:t>
      </w:r>
      <w:r w:rsidRPr="00BB63D5">
        <w:rPr>
          <w:b/>
          <w:bCs/>
        </w:rPr>
        <w:t>’</w:t>
      </w:r>
      <w:r>
        <w:rPr>
          <w:b/>
          <w:bCs/>
        </w:rPr>
        <w:t>écorce de cascara,</w:t>
      </w:r>
      <w:r>
        <w:t xml:space="preserve"> d</w:t>
      </w:r>
      <w:r w:rsidR="00423AD7">
        <w:t>u point de vue macroscopique</w:t>
      </w:r>
      <w:r>
        <w:t>, est plus épaisse à surface externe gris brunâtre recouverte de lenticelle</w:t>
      </w:r>
      <w:r w:rsidR="00423AD7">
        <w:t>s</w:t>
      </w:r>
      <w:r w:rsidR="00CE1309">
        <w:t xml:space="preserve"> et de lichens</w:t>
      </w:r>
      <w:r>
        <w:t>, à face i</w:t>
      </w:r>
      <w:r w:rsidR="00CE1309">
        <w:t>nterne brun jaunâtre</w:t>
      </w:r>
      <w:r>
        <w:t>.  Du point de vue microscopique</w:t>
      </w:r>
      <w:r w:rsidR="00CE1309">
        <w:t>, présence</w:t>
      </w:r>
      <w:r>
        <w:t xml:space="preserve"> d’élément</w:t>
      </w:r>
      <w:r w:rsidR="00423AD7">
        <w:t>s</w:t>
      </w:r>
      <w:r>
        <w:t xml:space="preserve"> scléreux </w:t>
      </w:r>
      <w:r w:rsidR="00CE1309">
        <w:t xml:space="preserve">en amas de couleur jaunâtre </w:t>
      </w:r>
      <w:r>
        <w:t>dans le</w:t>
      </w:r>
      <w:r w:rsidR="00CE1309">
        <w:t xml:space="preserve"> parenchyme cortical et absence</w:t>
      </w:r>
      <w:r>
        <w:t xml:space="preserve"> de poches à mucilage.</w:t>
      </w:r>
    </w:p>
    <w:p w:rsidR="002F2CD2" w:rsidRDefault="00CE1309" w:rsidP="00E2207E">
      <w:pPr>
        <w:jc w:val="both"/>
      </w:pPr>
      <w:r w:rsidRPr="00CE1309">
        <w:rPr>
          <w:u w:val="single"/>
        </w:rPr>
        <w:lastRenderedPageBreak/>
        <w:t>Composition chimique</w:t>
      </w:r>
      <w:r>
        <w:t> :</w:t>
      </w:r>
    </w:p>
    <w:p w:rsidR="0077088A" w:rsidRDefault="0077088A" w:rsidP="0077088A">
      <w:pPr>
        <w:spacing w:after="0"/>
        <w:jc w:val="both"/>
      </w:pPr>
      <w:r>
        <w:t xml:space="preserve">La </w:t>
      </w:r>
      <w:r w:rsidRPr="0077088A">
        <w:rPr>
          <w:b/>
          <w:bCs/>
        </w:rPr>
        <w:t>bourdaine</w:t>
      </w:r>
      <w:r w:rsidR="000149D9">
        <w:t xml:space="preserve"> </w:t>
      </w:r>
      <w:r w:rsidR="00A83C3C">
        <w:t>cont</w:t>
      </w:r>
      <w:r w:rsidR="000149D9">
        <w:t>ient</w:t>
      </w:r>
      <w:r>
        <w:t xml:space="preserve"> </w:t>
      </w:r>
      <w:r w:rsidRPr="00EC1C6B">
        <w:rPr>
          <w:b/>
          <w:bCs/>
        </w:rPr>
        <w:t>3 à 8%</w:t>
      </w:r>
      <w:r>
        <w:t xml:space="preserve"> de dérivés hydroxyanthracéniques représentés par :</w:t>
      </w:r>
    </w:p>
    <w:p w:rsidR="0077088A" w:rsidRDefault="0077088A" w:rsidP="0077088A">
      <w:pPr>
        <w:pStyle w:val="Paragraphedeliste"/>
        <w:numPr>
          <w:ilvl w:val="0"/>
          <w:numId w:val="10"/>
        </w:numPr>
        <w:spacing w:after="0"/>
        <w:jc w:val="both"/>
      </w:pPr>
      <w:r>
        <w:t>Frangulosides A et B (hétérosides anthracéniques monoosidiques)</w:t>
      </w:r>
    </w:p>
    <w:p w:rsidR="0077088A" w:rsidRDefault="0077088A" w:rsidP="0077088A">
      <w:pPr>
        <w:pStyle w:val="Paragraphedeliste"/>
        <w:numPr>
          <w:ilvl w:val="0"/>
          <w:numId w:val="10"/>
        </w:numPr>
        <w:spacing w:after="0"/>
        <w:jc w:val="both"/>
      </w:pPr>
      <w:r>
        <w:t>Glucofrangulosides A et B (hétérosides anthracéniques biosidiques)</w:t>
      </w:r>
    </w:p>
    <w:p w:rsidR="00A83C3C" w:rsidRDefault="00A83C3C" w:rsidP="00A83C3C">
      <w:pPr>
        <w:pStyle w:val="Paragraphedeliste"/>
        <w:spacing w:after="0"/>
        <w:jc w:val="both"/>
      </w:pPr>
      <w:r>
        <w:object w:dxaOrig="3794" w:dyaOrig="2775">
          <v:shape id="_x0000_i1038" type="#_x0000_t75" style="width:135.75pt;height:99pt" o:ole="">
            <v:imagedata r:id="rId41" o:title=""/>
          </v:shape>
          <o:OLEObject Type="Embed" ProgID="ISISServer" ShapeID="_x0000_i1038" DrawAspect="Content" ObjectID="_1487960958" r:id="rId42"/>
        </w:object>
      </w:r>
      <w:r>
        <w:t xml:space="preserve">                             </w:t>
      </w:r>
      <w:r>
        <w:object w:dxaOrig="3705" w:dyaOrig="2775">
          <v:shape id="_x0000_i1039" type="#_x0000_t75" style="width:130.5pt;height:97.5pt" o:ole="">
            <v:imagedata r:id="rId43" o:title=""/>
          </v:shape>
          <o:OLEObject Type="Embed" ProgID="ISISServer" ShapeID="_x0000_i1039" DrawAspect="Content" ObjectID="_1487960959" r:id="rId44"/>
        </w:object>
      </w:r>
    </w:p>
    <w:p w:rsidR="00A83C3C" w:rsidRDefault="00A83C3C" w:rsidP="00A83C3C">
      <w:pPr>
        <w:spacing w:after="0"/>
        <w:jc w:val="both"/>
      </w:pPr>
    </w:p>
    <w:p w:rsidR="000149D9" w:rsidRDefault="000149D9" w:rsidP="000149D9">
      <w:pPr>
        <w:spacing w:after="0"/>
        <w:jc w:val="both"/>
      </w:pPr>
      <w:r>
        <w:t xml:space="preserve">Le </w:t>
      </w:r>
      <w:r w:rsidRPr="000149D9">
        <w:rPr>
          <w:b/>
          <w:bCs/>
        </w:rPr>
        <w:t>cascara</w:t>
      </w:r>
      <w:r>
        <w:t xml:space="preserve"> contient </w:t>
      </w:r>
      <w:r w:rsidRPr="000149D9">
        <w:rPr>
          <w:b/>
          <w:bCs/>
        </w:rPr>
        <w:t>6 à 9%</w:t>
      </w:r>
      <w:r w:rsidRPr="000149D9">
        <w:t xml:space="preserve"> </w:t>
      </w:r>
      <w:r>
        <w:t>de dérivés hydroxyanthracéniques représentés par :</w:t>
      </w:r>
    </w:p>
    <w:p w:rsidR="000149D9" w:rsidRDefault="000149D9" w:rsidP="000149D9">
      <w:pPr>
        <w:pStyle w:val="Paragraphedeliste"/>
        <w:numPr>
          <w:ilvl w:val="0"/>
          <w:numId w:val="11"/>
        </w:numPr>
        <w:spacing w:after="0"/>
        <w:jc w:val="both"/>
      </w:pPr>
      <w:r>
        <w:t>Cascarosides A, B, C et D (O-hétérosides de C-hétérosides) majoritaire à 70%</w:t>
      </w:r>
    </w:p>
    <w:p w:rsidR="003C462B" w:rsidRDefault="003C462B" w:rsidP="000149D9">
      <w:pPr>
        <w:pStyle w:val="Paragraphedeliste"/>
        <w:numPr>
          <w:ilvl w:val="0"/>
          <w:numId w:val="11"/>
        </w:numPr>
        <w:spacing w:after="0"/>
        <w:jc w:val="both"/>
      </w:pPr>
      <w:r>
        <w:t>C-hétérosides d’aloïne et de chrysaloine</w:t>
      </w:r>
    </w:p>
    <w:p w:rsidR="000149D9" w:rsidRDefault="000149D9" w:rsidP="003C462B">
      <w:pPr>
        <w:spacing w:after="0"/>
        <w:jc w:val="center"/>
      </w:pPr>
      <w:r>
        <w:object w:dxaOrig="3375" w:dyaOrig="2535">
          <v:shape id="_x0000_i1040" type="#_x0000_t75" style="width:127.5pt;height:96pt" o:ole="">
            <v:imagedata r:id="rId45" o:title=""/>
          </v:shape>
          <o:OLEObject Type="Embed" ProgID="ISISServer" ShapeID="_x0000_i1040" DrawAspect="Content" ObjectID="_1487960960" r:id="rId46"/>
        </w:object>
      </w:r>
      <w:r>
        <w:t xml:space="preserve">                  </w:t>
      </w:r>
      <w:r>
        <w:object w:dxaOrig="3015" w:dyaOrig="2535">
          <v:shape id="_x0000_i1041" type="#_x0000_t75" style="width:119.25pt;height:100.5pt" o:ole="">
            <v:imagedata r:id="rId47" o:title=""/>
          </v:shape>
          <o:OLEObject Type="Embed" ProgID="ISISServer" ShapeID="_x0000_i1041" DrawAspect="Content" ObjectID="_1487960961" r:id="rId48"/>
        </w:object>
      </w:r>
    </w:p>
    <w:p w:rsidR="00F73A98" w:rsidRDefault="00F73A98" w:rsidP="003C462B">
      <w:pPr>
        <w:spacing w:after="0"/>
        <w:jc w:val="both"/>
        <w:rPr>
          <w:u w:val="single"/>
        </w:rPr>
      </w:pPr>
    </w:p>
    <w:p w:rsidR="003C462B" w:rsidRDefault="003C462B" w:rsidP="003C462B">
      <w:pPr>
        <w:spacing w:after="0"/>
        <w:jc w:val="both"/>
        <w:rPr>
          <w:u w:val="single"/>
        </w:rPr>
      </w:pPr>
      <w:r w:rsidRPr="003C462B">
        <w:rPr>
          <w:u w:val="single"/>
        </w:rPr>
        <w:t>Emplois :</w:t>
      </w:r>
    </w:p>
    <w:p w:rsidR="003C462B" w:rsidRDefault="003C462B" w:rsidP="003C462B">
      <w:pPr>
        <w:jc w:val="both"/>
      </w:pPr>
      <w:r w:rsidRPr="003C462B">
        <w:t xml:space="preserve">La </w:t>
      </w:r>
      <w:r w:rsidRPr="003C462B">
        <w:rPr>
          <w:b/>
          <w:bCs/>
        </w:rPr>
        <w:t>bourdaine</w:t>
      </w:r>
      <w:r w:rsidRPr="003C462B">
        <w:t xml:space="preserve"> est un laxatif à dose thérapeutique employée en nature ou sous formes galéniques (poudre, extrait) : </w:t>
      </w:r>
      <w:r>
        <w:t>TONILAX®, NORMACOL A LA BOURDAINE®, MUCINUM®, VEGELAX®, IDEOLAXYL®.</w:t>
      </w:r>
    </w:p>
    <w:p w:rsidR="00E2207E" w:rsidRPr="00E2207E" w:rsidRDefault="003C462B" w:rsidP="00E2207E">
      <w:pPr>
        <w:jc w:val="both"/>
      </w:pPr>
      <w:r>
        <w:t xml:space="preserve">Le </w:t>
      </w:r>
      <w:r w:rsidRPr="003C462B">
        <w:rPr>
          <w:b/>
          <w:bCs/>
        </w:rPr>
        <w:t>cascara</w:t>
      </w:r>
      <w:r>
        <w:t xml:space="preserve"> est un laxatif plus irritant que la bourdaine employé soit</w:t>
      </w:r>
      <w:r w:rsidRPr="003C462B">
        <w:t xml:space="preserve"> en nature ou sous formes galéniques (poudre, extrait</w:t>
      </w:r>
      <w:r>
        <w:t>s titrés en cascarosides </w:t>
      </w:r>
      <w:r w:rsidRPr="003C462B">
        <w:t>)</w:t>
      </w:r>
      <w:r>
        <w:t xml:space="preserve"> : PERISTALTINE®, DRAGEES FUCA®, GRAINS </w:t>
      </w:r>
      <w:r w:rsidR="00E2207E">
        <w:t>DE VALS® (boldo, cascara, séné)</w:t>
      </w:r>
    </w:p>
    <w:p w:rsidR="003C462B" w:rsidRPr="005021CB" w:rsidRDefault="003C462B" w:rsidP="003C462B">
      <w:pPr>
        <w:rPr>
          <w:b/>
          <w:bCs/>
          <w:sz w:val="24"/>
          <w:szCs w:val="24"/>
        </w:rPr>
      </w:pPr>
      <w:r w:rsidRPr="003C462B">
        <w:rPr>
          <w:b/>
          <w:bCs/>
          <w:sz w:val="24"/>
          <w:szCs w:val="24"/>
          <w:u w:val="single"/>
        </w:rPr>
        <w:t>Autres drogues </w:t>
      </w:r>
      <w:r w:rsidRPr="005021CB">
        <w:rPr>
          <w:b/>
          <w:bCs/>
          <w:sz w:val="24"/>
          <w:szCs w:val="24"/>
        </w:rPr>
        <w:t>:  </w:t>
      </w:r>
    </w:p>
    <w:p w:rsidR="003C462B" w:rsidRPr="006D7C6D" w:rsidRDefault="003C462B" w:rsidP="003C462B">
      <w:pPr>
        <w:spacing w:after="0"/>
        <w:jc w:val="center"/>
      </w:pPr>
      <w:r w:rsidRPr="00CD791E">
        <w:rPr>
          <w:b/>
          <w:bCs/>
        </w:rPr>
        <w:t>Famille des Liliacées</w:t>
      </w:r>
      <w:r w:rsidRPr="006D7C6D">
        <w:t xml:space="preserve"> : </w:t>
      </w:r>
      <w:r w:rsidRPr="006D7C6D">
        <w:rPr>
          <w:highlight w:val="yellow"/>
        </w:rPr>
        <w:t>Les Aloés</w:t>
      </w:r>
    </w:p>
    <w:p w:rsidR="003C462B" w:rsidRPr="006D7C6D" w:rsidRDefault="006D7C6D" w:rsidP="003C462B">
      <w:pPr>
        <w:spacing w:after="0"/>
        <w:jc w:val="center"/>
      </w:pPr>
      <w:r w:rsidRPr="006D7C6D">
        <w:t xml:space="preserve">Aloés du Cap : </w:t>
      </w:r>
      <w:r w:rsidRPr="006D7C6D">
        <w:rPr>
          <w:i/>
          <w:iCs/>
        </w:rPr>
        <w:t>Aloe ferox</w:t>
      </w:r>
      <w:r>
        <w:rPr>
          <w:i/>
          <w:iCs/>
        </w:rPr>
        <w:t xml:space="preserve"> </w:t>
      </w:r>
      <w:r>
        <w:t>Miller</w:t>
      </w:r>
    </w:p>
    <w:p w:rsidR="006D7C6D" w:rsidRDefault="006D7C6D" w:rsidP="003C462B">
      <w:pPr>
        <w:spacing w:after="0"/>
        <w:jc w:val="center"/>
      </w:pPr>
      <w:r w:rsidRPr="006D7C6D">
        <w:t xml:space="preserve">Aloés des Barbades : </w:t>
      </w:r>
      <w:r w:rsidRPr="006D7C6D">
        <w:rPr>
          <w:i/>
          <w:iCs/>
        </w:rPr>
        <w:t>Aloe vera</w:t>
      </w:r>
      <w:r>
        <w:rPr>
          <w:i/>
          <w:iCs/>
        </w:rPr>
        <w:t xml:space="preserve"> </w:t>
      </w:r>
      <w:r>
        <w:t>L</w:t>
      </w:r>
    </w:p>
    <w:p w:rsidR="00FB08F0" w:rsidRDefault="001176CF" w:rsidP="003C462B">
      <w:pPr>
        <w:spacing w:after="0"/>
        <w:jc w:val="center"/>
      </w:pPr>
      <w:r>
        <w:rPr>
          <w:noProof/>
          <w:lang w:eastAsia="fr-FR"/>
        </w:rPr>
        <w:pict>
          <v:shape id="_x0000_s1088" type="#_x0000_t202" style="position:absolute;left:0;text-align:left;margin-left:296.65pt;margin-top:4.85pt;width:158.25pt;height:119.25pt;z-index:251680768" stroked="f">
            <v:textbox>
              <w:txbxContent>
                <w:p w:rsidR="00836379" w:rsidRDefault="00836379">
                  <w:r>
                    <w:rPr>
                      <w:noProof/>
                      <w:lang w:eastAsia="fr-FR"/>
                    </w:rPr>
                    <w:drawing>
                      <wp:inline distT="0" distB="0" distL="0" distR="0">
                        <wp:extent cx="1895475" cy="1419225"/>
                        <wp:effectExtent l="19050" t="0" r="9525" b="0"/>
                        <wp:docPr id="24"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srcRect/>
                                <a:stretch>
                                  <a:fillRect/>
                                </a:stretch>
                              </pic:blipFill>
                              <pic:spPr bwMode="auto">
                                <a:xfrm>
                                  <a:off x="0" y="0"/>
                                  <a:ext cx="1901993" cy="1424105"/>
                                </a:xfrm>
                                <a:prstGeom prst="rect">
                                  <a:avLst/>
                                </a:prstGeom>
                                <a:noFill/>
                                <a:ln w="9525">
                                  <a:noFill/>
                                  <a:miter lim="800000"/>
                                  <a:headEnd/>
                                  <a:tailEnd/>
                                </a:ln>
                              </pic:spPr>
                            </pic:pic>
                          </a:graphicData>
                        </a:graphic>
                      </wp:inline>
                    </w:drawing>
                  </w:r>
                </w:p>
              </w:txbxContent>
            </v:textbox>
          </v:shape>
        </w:pict>
      </w:r>
      <w:r>
        <w:rPr>
          <w:noProof/>
          <w:lang w:eastAsia="fr-FR"/>
        </w:rPr>
        <w:pict>
          <v:shape id="_x0000_s1089" type="#_x0000_t202" style="position:absolute;left:0;text-align:left;margin-left:28.15pt;margin-top:13.85pt;width:120.75pt;height:114pt;z-index:251681792">
            <v:textbox>
              <w:txbxContent>
                <w:p w:rsidR="00836379" w:rsidRDefault="00836379" w:rsidP="00FB08F0">
                  <w:pPr>
                    <w:jc w:val="center"/>
                  </w:pPr>
                  <w:r>
                    <w:rPr>
                      <w:noProof/>
                      <w:lang w:eastAsia="fr-FR"/>
                    </w:rPr>
                    <w:drawing>
                      <wp:inline distT="0" distB="0" distL="0" distR="0">
                        <wp:extent cx="1352550" cy="1352550"/>
                        <wp:effectExtent l="19050" t="0" r="0" b="0"/>
                        <wp:docPr id="25"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a:srcRect/>
                                <a:stretch>
                                  <a:fillRect/>
                                </a:stretch>
                              </pic:blipFill>
                              <pic:spPr bwMode="auto">
                                <a:xfrm>
                                  <a:off x="0" y="0"/>
                                  <a:ext cx="1352550" cy="1352550"/>
                                </a:xfrm>
                                <a:prstGeom prst="rect">
                                  <a:avLst/>
                                </a:prstGeom>
                                <a:noFill/>
                                <a:ln w="9525">
                                  <a:noFill/>
                                  <a:miter lim="800000"/>
                                  <a:headEnd/>
                                  <a:tailEnd/>
                                </a:ln>
                              </pic:spPr>
                            </pic:pic>
                          </a:graphicData>
                        </a:graphic>
                      </wp:inline>
                    </w:drawing>
                  </w:r>
                </w:p>
              </w:txbxContent>
            </v:textbox>
          </v:shape>
        </w:pict>
      </w:r>
    </w:p>
    <w:p w:rsidR="00FB08F0" w:rsidRPr="006D7C6D" w:rsidRDefault="00FB08F0" w:rsidP="00FB08F0">
      <w:pPr>
        <w:spacing w:after="0"/>
      </w:pPr>
      <w:r>
        <w:t xml:space="preserve">  </w:t>
      </w:r>
    </w:p>
    <w:p w:rsidR="00FB08F0" w:rsidRDefault="00FB08F0" w:rsidP="005C79E8">
      <w:pPr>
        <w:spacing w:after="0"/>
        <w:jc w:val="both"/>
      </w:pPr>
    </w:p>
    <w:p w:rsidR="00FB08F0" w:rsidRDefault="00FB08F0" w:rsidP="005C79E8">
      <w:pPr>
        <w:spacing w:after="0"/>
        <w:jc w:val="both"/>
      </w:pPr>
    </w:p>
    <w:p w:rsidR="00FB08F0" w:rsidRDefault="00FB08F0" w:rsidP="005C79E8">
      <w:pPr>
        <w:spacing w:after="0"/>
        <w:jc w:val="both"/>
      </w:pPr>
    </w:p>
    <w:p w:rsidR="00FB08F0" w:rsidRDefault="00FB08F0" w:rsidP="005C79E8">
      <w:pPr>
        <w:spacing w:after="0"/>
        <w:jc w:val="both"/>
      </w:pPr>
    </w:p>
    <w:p w:rsidR="00FB08F0" w:rsidRDefault="00FB08F0" w:rsidP="005C79E8">
      <w:pPr>
        <w:spacing w:after="0"/>
        <w:jc w:val="both"/>
      </w:pPr>
    </w:p>
    <w:p w:rsidR="00FB08F0" w:rsidRDefault="001176CF" w:rsidP="005C79E8">
      <w:pPr>
        <w:spacing w:after="0"/>
        <w:jc w:val="both"/>
      </w:pPr>
      <w:r>
        <w:rPr>
          <w:noProof/>
          <w:lang w:eastAsia="fr-FR"/>
        </w:rPr>
        <w:pict>
          <v:shape id="_x0000_s1091" type="#_x0000_t202" style="position:absolute;left:0;text-align:left;margin-left:322pt;margin-top:13.75pt;width:104.25pt;height:19.5pt;z-index:251683840" stroked="f">
            <v:textbox>
              <w:txbxContent>
                <w:p w:rsidR="00836379" w:rsidRDefault="00836379" w:rsidP="00FB08F0">
                  <w:pPr>
                    <w:jc w:val="center"/>
                  </w:pPr>
                  <w:r>
                    <w:t>Le suc d’Aloés</w:t>
                  </w:r>
                </w:p>
              </w:txbxContent>
            </v:textbox>
          </v:shape>
        </w:pict>
      </w:r>
    </w:p>
    <w:p w:rsidR="00FB08F0" w:rsidRDefault="001176CF" w:rsidP="005C79E8">
      <w:pPr>
        <w:spacing w:after="0"/>
        <w:jc w:val="both"/>
      </w:pPr>
      <w:r>
        <w:rPr>
          <w:noProof/>
          <w:lang w:eastAsia="fr-FR"/>
        </w:rPr>
        <w:pict>
          <v:shape id="_x0000_s1090" type="#_x0000_t202" style="position:absolute;left:0;text-align:left;margin-left:39.25pt;margin-top:5.85pt;width:104.25pt;height:19.5pt;z-index:251682816" stroked="f">
            <v:textbox>
              <w:txbxContent>
                <w:p w:rsidR="00836379" w:rsidRDefault="00836379">
                  <w:r>
                    <w:t xml:space="preserve">La plante </w:t>
                  </w:r>
                  <w:r w:rsidRPr="00FB08F0">
                    <w:rPr>
                      <w:i/>
                      <w:iCs/>
                    </w:rPr>
                    <w:t>Aloe vera</w:t>
                  </w:r>
                </w:p>
              </w:txbxContent>
            </v:textbox>
          </v:shape>
        </w:pict>
      </w:r>
    </w:p>
    <w:p w:rsidR="00FB08F0" w:rsidRDefault="00FB08F0" w:rsidP="005C79E8">
      <w:pPr>
        <w:spacing w:after="0"/>
        <w:jc w:val="both"/>
      </w:pPr>
    </w:p>
    <w:p w:rsidR="005C79E8" w:rsidRDefault="006D7C6D" w:rsidP="005C79E8">
      <w:pPr>
        <w:spacing w:after="0"/>
        <w:jc w:val="both"/>
      </w:pPr>
      <w:r>
        <w:t xml:space="preserve">La drogue est constituée par le </w:t>
      </w:r>
      <w:r w:rsidRPr="006D7C6D">
        <w:rPr>
          <w:b/>
          <w:bCs/>
        </w:rPr>
        <w:t>suc</w:t>
      </w:r>
      <w:r>
        <w:t xml:space="preserve"> épaissi provenant des feuilles, il contient 20 à 30% de dérivés hydroxyanthracéniques représentés par </w:t>
      </w:r>
      <w:r w:rsidRPr="006D7C6D">
        <w:rPr>
          <w:b/>
          <w:bCs/>
        </w:rPr>
        <w:t>aloïne</w:t>
      </w:r>
      <w:r>
        <w:rPr>
          <w:b/>
          <w:bCs/>
        </w:rPr>
        <w:t xml:space="preserve"> A et B</w:t>
      </w:r>
      <w:r>
        <w:t xml:space="preserve"> (C-hétérosides).</w:t>
      </w:r>
    </w:p>
    <w:p w:rsidR="005C79E8" w:rsidRPr="005C79E8" w:rsidRDefault="006D7C6D" w:rsidP="005C79E8">
      <w:pPr>
        <w:spacing w:after="0"/>
        <w:jc w:val="both"/>
      </w:pPr>
      <w:r w:rsidRPr="005C79E8">
        <w:t>La drogue est employée sous forme de poudre ou d’extrait sec : IDEOLAXYL</w:t>
      </w:r>
      <w:r w:rsidR="00FF07E6" w:rsidRPr="005C79E8">
        <w:t>® (séné et aloès)</w:t>
      </w:r>
      <w:r w:rsidRPr="005C79E8">
        <w:t xml:space="preserve">, VULCASE®, </w:t>
      </w:r>
      <w:r w:rsidR="00FF07E6" w:rsidRPr="005C79E8">
        <w:t>LAXATAN</w:t>
      </w:r>
      <w:r w:rsidRPr="005C79E8">
        <w:t>®</w:t>
      </w:r>
      <w:r w:rsidR="005C79E8" w:rsidRPr="005C79E8">
        <w:t>,  ALGUES BRUNES ALOES</w:t>
      </w:r>
      <w:r w:rsidR="005C79E8">
        <w:t>®.</w:t>
      </w:r>
    </w:p>
    <w:p w:rsidR="00FF07E6" w:rsidRPr="005C79E8" w:rsidRDefault="00FF07E6" w:rsidP="006D7C6D">
      <w:pPr>
        <w:spacing w:after="0"/>
        <w:jc w:val="both"/>
      </w:pPr>
    </w:p>
    <w:p w:rsidR="00FF07E6" w:rsidRDefault="00FF07E6" w:rsidP="006D7C6D">
      <w:pPr>
        <w:spacing w:after="0"/>
        <w:jc w:val="both"/>
      </w:pPr>
    </w:p>
    <w:p w:rsidR="00FF07E6" w:rsidRPr="005C79E8" w:rsidRDefault="00FF07E6" w:rsidP="00BC5CB7">
      <w:pPr>
        <w:spacing w:after="0"/>
        <w:jc w:val="both"/>
        <w:rPr>
          <w:sz w:val="14"/>
          <w:szCs w:val="14"/>
        </w:rPr>
      </w:pPr>
    </w:p>
    <w:sectPr w:rsidR="00FF07E6" w:rsidRPr="005C79E8" w:rsidSect="00E10708">
      <w:headerReference w:type="default" r:id="rId51"/>
      <w:footerReference w:type="default" r:id="rId5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4619" w:rsidRDefault="003C4619" w:rsidP="00D90D79">
      <w:pPr>
        <w:spacing w:after="0" w:line="240" w:lineRule="auto"/>
      </w:pPr>
      <w:r>
        <w:separator/>
      </w:r>
    </w:p>
  </w:endnote>
  <w:endnote w:type="continuationSeparator" w:id="1">
    <w:p w:rsidR="003C4619" w:rsidRDefault="003C4619" w:rsidP="00D90D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179"/>
      <w:gridCol w:w="929"/>
      <w:gridCol w:w="4180"/>
    </w:tblGrid>
    <w:tr w:rsidR="00836379">
      <w:trPr>
        <w:trHeight w:val="151"/>
      </w:trPr>
      <w:tc>
        <w:tcPr>
          <w:tcW w:w="2250" w:type="pct"/>
          <w:tcBorders>
            <w:bottom w:val="single" w:sz="4" w:space="0" w:color="4F81BD" w:themeColor="accent1"/>
          </w:tcBorders>
        </w:tcPr>
        <w:p w:rsidR="00836379" w:rsidRDefault="00836379">
          <w:pPr>
            <w:pStyle w:val="En-tte"/>
            <w:rPr>
              <w:rFonts w:asciiTheme="majorHAnsi" w:eastAsiaTheme="majorEastAsia" w:hAnsiTheme="majorHAnsi" w:cstheme="majorBidi"/>
              <w:b/>
              <w:bCs/>
            </w:rPr>
          </w:pPr>
        </w:p>
      </w:tc>
      <w:tc>
        <w:tcPr>
          <w:tcW w:w="500" w:type="pct"/>
          <w:vMerge w:val="restart"/>
          <w:noWrap/>
          <w:vAlign w:val="center"/>
        </w:tcPr>
        <w:p w:rsidR="00836379" w:rsidRDefault="00836379">
          <w:pPr>
            <w:pStyle w:val="Sansinterligne"/>
            <w:rPr>
              <w:rFonts w:asciiTheme="majorHAnsi" w:hAnsiTheme="majorHAnsi"/>
            </w:rPr>
          </w:pPr>
          <w:r>
            <w:rPr>
              <w:rFonts w:asciiTheme="majorHAnsi" w:hAnsiTheme="majorHAnsi"/>
              <w:b/>
            </w:rPr>
            <w:t xml:space="preserve">Page </w:t>
          </w:r>
          <w:fldSimple w:instr=" PAGE  \* MERGEFORMAT ">
            <w:r w:rsidRPr="00836379">
              <w:rPr>
                <w:rFonts w:asciiTheme="majorHAnsi" w:hAnsiTheme="majorHAnsi"/>
                <w:b/>
                <w:noProof/>
              </w:rPr>
              <w:t>6</w:t>
            </w:r>
          </w:fldSimple>
        </w:p>
      </w:tc>
      <w:tc>
        <w:tcPr>
          <w:tcW w:w="2250" w:type="pct"/>
          <w:tcBorders>
            <w:bottom w:val="single" w:sz="4" w:space="0" w:color="4F81BD" w:themeColor="accent1"/>
          </w:tcBorders>
        </w:tcPr>
        <w:p w:rsidR="00836379" w:rsidRDefault="00836379">
          <w:pPr>
            <w:pStyle w:val="En-tte"/>
            <w:rPr>
              <w:rFonts w:asciiTheme="majorHAnsi" w:eastAsiaTheme="majorEastAsia" w:hAnsiTheme="majorHAnsi" w:cstheme="majorBidi"/>
              <w:b/>
              <w:bCs/>
            </w:rPr>
          </w:pPr>
        </w:p>
      </w:tc>
    </w:tr>
    <w:tr w:rsidR="00836379">
      <w:trPr>
        <w:trHeight w:val="150"/>
      </w:trPr>
      <w:tc>
        <w:tcPr>
          <w:tcW w:w="2250" w:type="pct"/>
          <w:tcBorders>
            <w:top w:val="single" w:sz="4" w:space="0" w:color="4F81BD" w:themeColor="accent1"/>
          </w:tcBorders>
        </w:tcPr>
        <w:p w:rsidR="00836379" w:rsidRDefault="00836379">
          <w:pPr>
            <w:pStyle w:val="En-tte"/>
            <w:rPr>
              <w:rFonts w:asciiTheme="majorHAnsi" w:eastAsiaTheme="majorEastAsia" w:hAnsiTheme="majorHAnsi" w:cstheme="majorBidi"/>
              <w:b/>
              <w:bCs/>
            </w:rPr>
          </w:pPr>
        </w:p>
      </w:tc>
      <w:tc>
        <w:tcPr>
          <w:tcW w:w="500" w:type="pct"/>
          <w:vMerge/>
        </w:tcPr>
        <w:p w:rsidR="00836379" w:rsidRDefault="00836379">
          <w:pPr>
            <w:pStyle w:val="En-tte"/>
            <w:jc w:val="center"/>
            <w:rPr>
              <w:rFonts w:asciiTheme="majorHAnsi" w:eastAsiaTheme="majorEastAsia" w:hAnsiTheme="majorHAnsi" w:cstheme="majorBidi"/>
              <w:b/>
              <w:bCs/>
            </w:rPr>
          </w:pPr>
        </w:p>
      </w:tc>
      <w:tc>
        <w:tcPr>
          <w:tcW w:w="2250" w:type="pct"/>
          <w:tcBorders>
            <w:top w:val="single" w:sz="4" w:space="0" w:color="4F81BD" w:themeColor="accent1"/>
          </w:tcBorders>
        </w:tcPr>
        <w:p w:rsidR="00836379" w:rsidRDefault="00836379">
          <w:pPr>
            <w:pStyle w:val="En-tte"/>
            <w:rPr>
              <w:rFonts w:asciiTheme="majorHAnsi" w:eastAsiaTheme="majorEastAsia" w:hAnsiTheme="majorHAnsi" w:cstheme="majorBidi"/>
              <w:b/>
              <w:bCs/>
            </w:rPr>
          </w:pPr>
        </w:p>
      </w:tc>
    </w:tr>
  </w:tbl>
  <w:p w:rsidR="00836379" w:rsidRDefault="00836379">
    <w:pPr>
      <w:pStyle w:val="Pieddepage"/>
    </w:pPr>
    <w:r>
      <w:t>18/04/2012</w:t>
    </w:r>
  </w:p>
  <w:p w:rsidR="00836379" w:rsidRDefault="0083637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4619" w:rsidRDefault="003C4619" w:rsidP="00D90D79">
      <w:pPr>
        <w:spacing w:after="0" w:line="240" w:lineRule="auto"/>
      </w:pPr>
      <w:r>
        <w:separator/>
      </w:r>
    </w:p>
  </w:footnote>
  <w:footnote w:type="continuationSeparator" w:id="1">
    <w:p w:rsidR="003C4619" w:rsidRDefault="003C4619" w:rsidP="00D90D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Monotype Corsiva" w:hAnsi="Monotype Corsiva"/>
      </w:rPr>
      <w:alias w:val="Titre"/>
      <w:id w:val="77547040"/>
      <w:placeholder>
        <w:docPart w:val="FAAA7EC12BFC4F0D8EE63F6B012DABAD"/>
      </w:placeholder>
      <w:dataBinding w:prefixMappings="xmlns:ns0='http://schemas.openxmlformats.org/package/2006/metadata/core-properties' xmlns:ns1='http://purl.org/dc/elements/1.1/'" w:xpath="/ns0:coreProperties[1]/ns1:title[1]" w:storeItemID="{6C3C8BC8-F283-45AE-878A-BAB7291924A1}"/>
      <w:text/>
    </w:sdtPr>
    <w:sdtContent>
      <w:p w:rsidR="00836379" w:rsidRDefault="00836379" w:rsidP="00D90D79">
        <w:pPr>
          <w:pStyle w:val="En-tte"/>
          <w:pBdr>
            <w:between w:val="single" w:sz="4" w:space="1" w:color="4F81BD" w:themeColor="accent1"/>
          </w:pBdr>
          <w:spacing w:line="276" w:lineRule="auto"/>
          <w:jc w:val="center"/>
        </w:pPr>
        <w:r w:rsidRPr="00D90D79">
          <w:rPr>
            <w:rFonts w:ascii="Monotype Corsiva" w:hAnsi="Monotype Corsiva"/>
          </w:rPr>
          <w:t>L</w:t>
        </w:r>
        <w:r>
          <w:rPr>
            <w:rFonts w:ascii="Monotype Corsiva" w:hAnsi="Monotype Corsiva"/>
          </w:rPr>
          <w:t>aboratoire de phamacognosie                                                                                                                       Dr Sahraoui</w:t>
        </w:r>
      </w:p>
    </w:sdtContent>
  </w:sdt>
  <w:sdt>
    <w:sdtPr>
      <w:alias w:val="Date"/>
      <w:id w:val="77547044"/>
      <w:placeholder>
        <w:docPart w:val="023D9F5392D44E2AB41C8FA3705DABF6"/>
      </w:placeholder>
      <w:dataBinding w:prefixMappings="xmlns:ns0='http://schemas.microsoft.com/office/2006/coverPageProps'" w:xpath="/ns0:CoverPageProperties[1]/ns0:PublishDate[1]" w:storeItemID="{55AF091B-3C7A-41E3-B477-F2FDAA23CFDA}"/>
      <w:date>
        <w:dateFormat w:val="d MMMM yyyy"/>
        <w:lid w:val="fr-FR"/>
        <w:storeMappedDataAs w:val="dateTime"/>
        <w:calendar w:val="gregorian"/>
      </w:date>
    </w:sdtPr>
    <w:sdtContent>
      <w:p w:rsidR="00836379" w:rsidRDefault="00836379" w:rsidP="00DF75C7">
        <w:pPr>
          <w:pStyle w:val="En-tte"/>
          <w:pBdr>
            <w:between w:val="single" w:sz="4" w:space="1" w:color="4F81BD" w:themeColor="accent1"/>
          </w:pBdr>
          <w:spacing w:line="276" w:lineRule="auto"/>
          <w:jc w:val="center"/>
        </w:pPr>
        <w:r>
          <w:t>2014/2015</w:t>
        </w:r>
      </w:p>
    </w:sdtContent>
  </w:sdt>
  <w:p w:rsidR="00836379" w:rsidRDefault="00836379">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B54244"/>
    <w:multiLevelType w:val="hybridMultilevel"/>
    <w:tmpl w:val="DA5EEE7A"/>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33770AC2"/>
    <w:multiLevelType w:val="hybridMultilevel"/>
    <w:tmpl w:val="CE6A4D56"/>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nsid w:val="3D2A34E3"/>
    <w:multiLevelType w:val="hybridMultilevel"/>
    <w:tmpl w:val="84D20CA4"/>
    <w:lvl w:ilvl="0" w:tplc="5AD8A4F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FD42F67"/>
    <w:multiLevelType w:val="hybridMultilevel"/>
    <w:tmpl w:val="89EEDC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C9E5053"/>
    <w:multiLevelType w:val="hybridMultilevel"/>
    <w:tmpl w:val="8B5E0E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CE3461B"/>
    <w:multiLevelType w:val="hybridMultilevel"/>
    <w:tmpl w:val="8564D3EE"/>
    <w:lvl w:ilvl="0" w:tplc="D63C5692">
      <w:start w:val="1"/>
      <w:numFmt w:val="upp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E1B7C5D"/>
    <w:multiLevelType w:val="hybridMultilevel"/>
    <w:tmpl w:val="9F8AFB6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57B6189"/>
    <w:multiLevelType w:val="hybridMultilevel"/>
    <w:tmpl w:val="FD9E55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BF1444E"/>
    <w:multiLevelType w:val="hybridMultilevel"/>
    <w:tmpl w:val="CA827F5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6D7B517C"/>
    <w:multiLevelType w:val="hybridMultilevel"/>
    <w:tmpl w:val="E438E7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2031F62"/>
    <w:multiLevelType w:val="hybridMultilevel"/>
    <w:tmpl w:val="3FCE2D1C"/>
    <w:lvl w:ilvl="0" w:tplc="5AD8A4F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
  </w:num>
  <w:num w:numId="4">
    <w:abstractNumId w:val="1"/>
  </w:num>
  <w:num w:numId="5">
    <w:abstractNumId w:val="7"/>
  </w:num>
  <w:num w:numId="6">
    <w:abstractNumId w:val="10"/>
  </w:num>
  <w:num w:numId="7">
    <w:abstractNumId w:val="9"/>
  </w:num>
  <w:num w:numId="8">
    <w:abstractNumId w:val="6"/>
  </w:num>
  <w:num w:numId="9">
    <w:abstractNumId w:val="0"/>
  </w:num>
  <w:num w:numId="10">
    <w:abstractNumId w:val="3"/>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E02EE5"/>
    <w:rsid w:val="000142F2"/>
    <w:rsid w:val="000149D9"/>
    <w:rsid w:val="00081654"/>
    <w:rsid w:val="000A1032"/>
    <w:rsid w:val="000B3A75"/>
    <w:rsid w:val="000B58D1"/>
    <w:rsid w:val="000C1DB6"/>
    <w:rsid w:val="001176CF"/>
    <w:rsid w:val="001D3B82"/>
    <w:rsid w:val="00264D04"/>
    <w:rsid w:val="002B768D"/>
    <w:rsid w:val="002D7513"/>
    <w:rsid w:val="002F2CD2"/>
    <w:rsid w:val="0032072D"/>
    <w:rsid w:val="00356F38"/>
    <w:rsid w:val="003905D3"/>
    <w:rsid w:val="00394946"/>
    <w:rsid w:val="003A5E08"/>
    <w:rsid w:val="003C1BB0"/>
    <w:rsid w:val="003C4619"/>
    <w:rsid w:val="003C462B"/>
    <w:rsid w:val="003D37B6"/>
    <w:rsid w:val="00407ED1"/>
    <w:rsid w:val="00423AD7"/>
    <w:rsid w:val="00465C2A"/>
    <w:rsid w:val="004B327C"/>
    <w:rsid w:val="004E6CEB"/>
    <w:rsid w:val="004E6D13"/>
    <w:rsid w:val="005021CB"/>
    <w:rsid w:val="005134B6"/>
    <w:rsid w:val="00572E1E"/>
    <w:rsid w:val="00581F3A"/>
    <w:rsid w:val="005C56E5"/>
    <w:rsid w:val="005C79E8"/>
    <w:rsid w:val="005D5426"/>
    <w:rsid w:val="005E18AC"/>
    <w:rsid w:val="005F4589"/>
    <w:rsid w:val="006026DE"/>
    <w:rsid w:val="006945BD"/>
    <w:rsid w:val="006C33B9"/>
    <w:rsid w:val="006D7C6D"/>
    <w:rsid w:val="006E087C"/>
    <w:rsid w:val="006F5E2A"/>
    <w:rsid w:val="00760DD6"/>
    <w:rsid w:val="0077088A"/>
    <w:rsid w:val="00836379"/>
    <w:rsid w:val="008375DD"/>
    <w:rsid w:val="00857D61"/>
    <w:rsid w:val="0086183A"/>
    <w:rsid w:val="00864321"/>
    <w:rsid w:val="00892EC6"/>
    <w:rsid w:val="00894A4D"/>
    <w:rsid w:val="008B497F"/>
    <w:rsid w:val="008D048C"/>
    <w:rsid w:val="008E4C70"/>
    <w:rsid w:val="0092055A"/>
    <w:rsid w:val="00942F1C"/>
    <w:rsid w:val="00957ED8"/>
    <w:rsid w:val="0096147C"/>
    <w:rsid w:val="009A5FC1"/>
    <w:rsid w:val="009B7791"/>
    <w:rsid w:val="009C60F7"/>
    <w:rsid w:val="00A266EA"/>
    <w:rsid w:val="00A46EE7"/>
    <w:rsid w:val="00A60A22"/>
    <w:rsid w:val="00A722DB"/>
    <w:rsid w:val="00A83C3C"/>
    <w:rsid w:val="00A84E85"/>
    <w:rsid w:val="00AB3BE7"/>
    <w:rsid w:val="00B00939"/>
    <w:rsid w:val="00B16580"/>
    <w:rsid w:val="00B4388F"/>
    <w:rsid w:val="00B45915"/>
    <w:rsid w:val="00B61045"/>
    <w:rsid w:val="00BB63D5"/>
    <w:rsid w:val="00BC5CB7"/>
    <w:rsid w:val="00BD6A35"/>
    <w:rsid w:val="00BF2F0E"/>
    <w:rsid w:val="00C231B6"/>
    <w:rsid w:val="00C52194"/>
    <w:rsid w:val="00C8079D"/>
    <w:rsid w:val="00C833D5"/>
    <w:rsid w:val="00CD791E"/>
    <w:rsid w:val="00CE1309"/>
    <w:rsid w:val="00CE2449"/>
    <w:rsid w:val="00CE655E"/>
    <w:rsid w:val="00D234F5"/>
    <w:rsid w:val="00D43895"/>
    <w:rsid w:val="00D811E0"/>
    <w:rsid w:val="00D90D79"/>
    <w:rsid w:val="00DF70F6"/>
    <w:rsid w:val="00DF75C7"/>
    <w:rsid w:val="00E02EE5"/>
    <w:rsid w:val="00E05FD1"/>
    <w:rsid w:val="00E10708"/>
    <w:rsid w:val="00E2207E"/>
    <w:rsid w:val="00E25C11"/>
    <w:rsid w:val="00E319EF"/>
    <w:rsid w:val="00E55BE6"/>
    <w:rsid w:val="00EA61B9"/>
    <w:rsid w:val="00EB0E65"/>
    <w:rsid w:val="00EC1C6B"/>
    <w:rsid w:val="00EF66BE"/>
    <w:rsid w:val="00F13B28"/>
    <w:rsid w:val="00F21E0A"/>
    <w:rsid w:val="00F73A98"/>
    <w:rsid w:val="00FB08F0"/>
    <w:rsid w:val="00FF07E6"/>
    <w:rsid w:val="00FF36A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0708"/>
  </w:style>
  <w:style w:type="paragraph" w:styleId="Titre2">
    <w:name w:val="heading 2"/>
    <w:basedOn w:val="Normal"/>
    <w:link w:val="Titre2Car"/>
    <w:uiPriority w:val="9"/>
    <w:qFormat/>
    <w:rsid w:val="005C79E8"/>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02EE5"/>
    <w:pPr>
      <w:ind w:left="720"/>
      <w:contextualSpacing/>
    </w:pPr>
  </w:style>
  <w:style w:type="table" w:styleId="Grilledutableau">
    <w:name w:val="Table Grid"/>
    <w:basedOn w:val="TableauNormal"/>
    <w:uiPriority w:val="59"/>
    <w:rsid w:val="004E6CE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EB0E6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B0E65"/>
    <w:rPr>
      <w:rFonts w:ascii="Tahoma" w:hAnsi="Tahoma" w:cs="Tahoma"/>
      <w:sz w:val="16"/>
      <w:szCs w:val="16"/>
    </w:rPr>
  </w:style>
  <w:style w:type="character" w:customStyle="1" w:styleId="Titre2Car">
    <w:name w:val="Titre 2 Car"/>
    <w:basedOn w:val="Policepardfaut"/>
    <w:link w:val="Titre2"/>
    <w:uiPriority w:val="9"/>
    <w:rsid w:val="005C79E8"/>
    <w:rPr>
      <w:rFonts w:ascii="Times New Roman" w:eastAsia="Times New Roman" w:hAnsi="Times New Roman" w:cs="Times New Roman"/>
      <w:b/>
      <w:bCs/>
      <w:sz w:val="36"/>
      <w:szCs w:val="36"/>
      <w:lang w:eastAsia="fr-FR"/>
    </w:rPr>
  </w:style>
  <w:style w:type="paragraph" w:styleId="En-tte">
    <w:name w:val="header"/>
    <w:basedOn w:val="Normal"/>
    <w:link w:val="En-tteCar"/>
    <w:uiPriority w:val="99"/>
    <w:unhideWhenUsed/>
    <w:rsid w:val="00D90D79"/>
    <w:pPr>
      <w:tabs>
        <w:tab w:val="center" w:pos="4536"/>
        <w:tab w:val="right" w:pos="9072"/>
      </w:tabs>
      <w:spacing w:after="0" w:line="240" w:lineRule="auto"/>
    </w:pPr>
  </w:style>
  <w:style w:type="character" w:customStyle="1" w:styleId="En-tteCar">
    <w:name w:val="En-tête Car"/>
    <w:basedOn w:val="Policepardfaut"/>
    <w:link w:val="En-tte"/>
    <w:uiPriority w:val="99"/>
    <w:rsid w:val="00D90D79"/>
  </w:style>
  <w:style w:type="paragraph" w:styleId="Pieddepage">
    <w:name w:val="footer"/>
    <w:basedOn w:val="Normal"/>
    <w:link w:val="PieddepageCar"/>
    <w:uiPriority w:val="99"/>
    <w:semiHidden/>
    <w:unhideWhenUsed/>
    <w:rsid w:val="00D90D79"/>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D90D79"/>
  </w:style>
  <w:style w:type="paragraph" w:styleId="Sansinterligne">
    <w:name w:val="No Spacing"/>
    <w:link w:val="SansinterligneCar"/>
    <w:uiPriority w:val="1"/>
    <w:qFormat/>
    <w:rsid w:val="000A1032"/>
    <w:pPr>
      <w:spacing w:after="0" w:line="240" w:lineRule="auto"/>
    </w:pPr>
    <w:rPr>
      <w:rFonts w:eastAsiaTheme="minorEastAsia"/>
    </w:rPr>
  </w:style>
  <w:style w:type="character" w:customStyle="1" w:styleId="SansinterligneCar">
    <w:name w:val="Sans interligne Car"/>
    <w:basedOn w:val="Policepardfaut"/>
    <w:link w:val="Sansinterligne"/>
    <w:uiPriority w:val="1"/>
    <w:rsid w:val="000A1032"/>
    <w:rPr>
      <w:rFonts w:eastAsiaTheme="minorEastAsia"/>
    </w:rPr>
  </w:style>
</w:styles>
</file>

<file path=word/webSettings.xml><?xml version="1.0" encoding="utf-8"?>
<w:webSettings xmlns:r="http://schemas.openxmlformats.org/officeDocument/2006/relationships" xmlns:w="http://schemas.openxmlformats.org/wordprocessingml/2006/main">
  <w:divs>
    <w:div w:id="451947555">
      <w:bodyDiv w:val="1"/>
      <w:marLeft w:val="0"/>
      <w:marRight w:val="0"/>
      <w:marTop w:val="0"/>
      <w:marBottom w:val="0"/>
      <w:divBdr>
        <w:top w:val="none" w:sz="0" w:space="0" w:color="auto"/>
        <w:left w:val="none" w:sz="0" w:space="0" w:color="auto"/>
        <w:bottom w:val="none" w:sz="0" w:space="0" w:color="auto"/>
        <w:right w:val="none" w:sz="0" w:space="0" w:color="auto"/>
      </w:divBdr>
    </w:div>
    <w:div w:id="467551214">
      <w:bodyDiv w:val="1"/>
      <w:marLeft w:val="0"/>
      <w:marRight w:val="0"/>
      <w:marTop w:val="0"/>
      <w:marBottom w:val="0"/>
      <w:divBdr>
        <w:top w:val="none" w:sz="0" w:space="0" w:color="auto"/>
        <w:left w:val="none" w:sz="0" w:space="0" w:color="auto"/>
        <w:bottom w:val="none" w:sz="0" w:space="0" w:color="auto"/>
        <w:right w:val="none" w:sz="0" w:space="0" w:color="auto"/>
      </w:divBdr>
    </w:div>
    <w:div w:id="989358783">
      <w:bodyDiv w:val="1"/>
      <w:marLeft w:val="0"/>
      <w:marRight w:val="0"/>
      <w:marTop w:val="0"/>
      <w:marBottom w:val="0"/>
      <w:divBdr>
        <w:top w:val="none" w:sz="0" w:space="0" w:color="auto"/>
        <w:left w:val="none" w:sz="0" w:space="0" w:color="auto"/>
        <w:bottom w:val="none" w:sz="0" w:space="0" w:color="auto"/>
        <w:right w:val="none" w:sz="0" w:space="0" w:color="auto"/>
      </w:divBdr>
    </w:div>
    <w:div w:id="1993948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5.png"/><Relationship Id="rId21" Type="http://schemas.openxmlformats.org/officeDocument/2006/relationships/oleObject" Target="embeddings/oleObject7.bin"/><Relationship Id="rId34" Type="http://schemas.openxmlformats.org/officeDocument/2006/relationships/image" Target="media/image12.png"/><Relationship Id="rId42" Type="http://schemas.openxmlformats.org/officeDocument/2006/relationships/oleObject" Target="embeddings/oleObject14.bin"/><Relationship Id="rId47" Type="http://schemas.openxmlformats.org/officeDocument/2006/relationships/image" Target="media/image20.wmf"/><Relationship Id="rId50" Type="http://schemas.openxmlformats.org/officeDocument/2006/relationships/image" Target="media/image22.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diagramColors" Target="diagrams/colors1.xml"/><Relationship Id="rId38" Type="http://schemas.openxmlformats.org/officeDocument/2006/relationships/oleObject" Target="embeddings/oleObject13.bin"/><Relationship Id="rId46"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1.bin"/><Relationship Id="rId41" Type="http://schemas.openxmlformats.org/officeDocument/2006/relationships/image" Target="media/image17.wmf"/><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diagramQuickStyle" Target="diagrams/quickStyle1.xml"/><Relationship Id="rId37" Type="http://schemas.openxmlformats.org/officeDocument/2006/relationships/oleObject" Target="embeddings/oleObject12.bin"/><Relationship Id="rId40" Type="http://schemas.openxmlformats.org/officeDocument/2006/relationships/image" Target="media/image16.png"/><Relationship Id="rId45" Type="http://schemas.openxmlformats.org/officeDocument/2006/relationships/image" Target="media/image19.w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4.png"/><Relationship Id="rId49" Type="http://schemas.openxmlformats.org/officeDocument/2006/relationships/image" Target="media/image21.png"/><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diagramLayout" Target="diagrams/layout1.xml"/><Relationship Id="rId44" Type="http://schemas.openxmlformats.org/officeDocument/2006/relationships/oleObject" Target="embeddings/oleObject15.bin"/><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diagramData" Target="diagrams/data1.xml"/><Relationship Id="rId35" Type="http://schemas.openxmlformats.org/officeDocument/2006/relationships/image" Target="media/image13.png"/><Relationship Id="rId43" Type="http://schemas.openxmlformats.org/officeDocument/2006/relationships/image" Target="media/image18.wmf"/><Relationship Id="rId48" Type="http://schemas.openxmlformats.org/officeDocument/2006/relationships/oleObject" Target="embeddings/oleObject17.bin"/><Relationship Id="rId8" Type="http://schemas.openxmlformats.org/officeDocument/2006/relationships/image" Target="media/image1.wmf"/><Relationship Id="rId51" Type="http://schemas.openxmlformats.org/officeDocument/2006/relationships/header" Target="header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3D197C-1096-419D-B774-2DB52EA14B2E}" type="doc">
      <dgm:prSet loTypeId="urn:microsoft.com/office/officeart/2005/8/layout/hierarchy1" loCatId="hierarchy" qsTypeId="urn:microsoft.com/office/officeart/2005/8/quickstyle/simple1" qsCatId="simple" csTypeId="urn:microsoft.com/office/officeart/2005/8/colors/accent0_1" csCatId="mainScheme" phldr="1"/>
      <dgm:spPr/>
      <dgm:t>
        <a:bodyPr/>
        <a:lstStyle/>
        <a:p>
          <a:endParaRPr lang="fr-FR"/>
        </a:p>
      </dgm:t>
    </dgm:pt>
    <dgm:pt modelId="{7E425BBF-4308-4E88-8F65-6BE02532BA50}">
      <dgm:prSet phldrT="[Texte]"/>
      <dgm:spPr/>
      <dgm:t>
        <a:bodyPr/>
        <a:lstStyle/>
        <a:p>
          <a:pPr algn="ctr"/>
          <a:r>
            <a:rPr lang="fr-FR"/>
            <a:t>phase aqueuse</a:t>
          </a:r>
        </a:p>
        <a:p>
          <a:pPr algn="ctr"/>
          <a:r>
            <a:rPr lang="fr-FR"/>
            <a:t>(génines + hétérosides)</a:t>
          </a:r>
        </a:p>
      </dgm:t>
    </dgm:pt>
    <dgm:pt modelId="{3B5F6721-8D5F-49C5-95F4-D46C3EE9F8A4}" type="parTrans" cxnId="{FDE2C2EE-A0AA-4602-9F9E-1ABD825C8370}">
      <dgm:prSet/>
      <dgm:spPr/>
      <dgm:t>
        <a:bodyPr/>
        <a:lstStyle/>
        <a:p>
          <a:pPr algn="ctr"/>
          <a:endParaRPr lang="fr-FR"/>
        </a:p>
      </dgm:t>
    </dgm:pt>
    <dgm:pt modelId="{35C58FC1-5A38-4E79-94B3-2F946E312C96}" type="sibTrans" cxnId="{FDE2C2EE-A0AA-4602-9F9E-1ABD825C8370}">
      <dgm:prSet/>
      <dgm:spPr/>
      <dgm:t>
        <a:bodyPr/>
        <a:lstStyle/>
        <a:p>
          <a:pPr algn="ctr"/>
          <a:endParaRPr lang="fr-FR"/>
        </a:p>
      </dgm:t>
    </dgm:pt>
    <dgm:pt modelId="{24B318D1-36B4-40F8-B070-B6B61D458A14}">
      <dgm:prSet phldrT="[Texte]"/>
      <dgm:spPr/>
      <dgm:t>
        <a:bodyPr/>
        <a:lstStyle/>
        <a:p>
          <a:pPr algn="ctr"/>
          <a:r>
            <a:rPr lang="fr-FR"/>
            <a:t>phase org </a:t>
          </a:r>
        </a:p>
        <a:p>
          <a:pPr algn="ctr"/>
          <a:r>
            <a:rPr lang="fr-FR"/>
            <a:t>(génines libres)</a:t>
          </a:r>
        </a:p>
      </dgm:t>
    </dgm:pt>
    <dgm:pt modelId="{871E7E82-8951-4B63-8D0C-3B13BCD56446}" type="parTrans" cxnId="{796E6AC0-ACF5-4FCD-AC9A-BD0604BE01B3}">
      <dgm:prSet/>
      <dgm:spPr/>
      <dgm:t>
        <a:bodyPr/>
        <a:lstStyle/>
        <a:p>
          <a:pPr algn="ctr"/>
          <a:endParaRPr lang="fr-FR"/>
        </a:p>
      </dgm:t>
    </dgm:pt>
    <dgm:pt modelId="{71E95AAD-F9BE-402A-8B70-56B6D9F2806F}" type="sibTrans" cxnId="{796E6AC0-ACF5-4FCD-AC9A-BD0604BE01B3}">
      <dgm:prSet/>
      <dgm:spPr/>
      <dgm:t>
        <a:bodyPr/>
        <a:lstStyle/>
        <a:p>
          <a:pPr algn="ctr"/>
          <a:endParaRPr lang="fr-FR"/>
        </a:p>
      </dgm:t>
    </dgm:pt>
    <dgm:pt modelId="{70F0AD67-5F8D-430C-AE23-886D8F0DCC8A}">
      <dgm:prSet phldrT="[Texte]"/>
      <dgm:spPr/>
      <dgm:t>
        <a:bodyPr/>
        <a:lstStyle/>
        <a:p>
          <a:pPr algn="ctr"/>
          <a:r>
            <a:rPr lang="fr-FR"/>
            <a:t>phase aqueuse</a:t>
          </a:r>
        </a:p>
        <a:p>
          <a:pPr algn="ctr"/>
          <a:r>
            <a:rPr lang="fr-FR"/>
            <a:t>(hétérosides)</a:t>
          </a:r>
        </a:p>
      </dgm:t>
    </dgm:pt>
    <dgm:pt modelId="{397FC598-7D14-46AD-BEBE-FDF4A4368540}" type="sibTrans" cxnId="{D61D552C-A359-4C50-A85C-5EF02B9109A2}">
      <dgm:prSet/>
      <dgm:spPr/>
      <dgm:t>
        <a:bodyPr/>
        <a:lstStyle/>
        <a:p>
          <a:pPr algn="ctr"/>
          <a:endParaRPr lang="fr-FR"/>
        </a:p>
      </dgm:t>
    </dgm:pt>
    <dgm:pt modelId="{DF4AC82D-1D8E-48DD-8DED-53EF249B2F1B}" type="parTrans" cxnId="{D61D552C-A359-4C50-A85C-5EF02B9109A2}">
      <dgm:prSet/>
      <dgm:spPr/>
      <dgm:t>
        <a:bodyPr/>
        <a:lstStyle/>
        <a:p>
          <a:pPr algn="ctr"/>
          <a:endParaRPr lang="fr-FR"/>
        </a:p>
      </dgm:t>
    </dgm:pt>
    <dgm:pt modelId="{325FD7F1-40DE-4096-B0D9-D8A4317F1764}">
      <dgm:prSet/>
      <dgm:spPr/>
      <dgm:t>
        <a:bodyPr/>
        <a:lstStyle/>
        <a:p>
          <a:r>
            <a:rPr lang="fr-FR"/>
            <a:t>drogue pulvérisée</a:t>
          </a:r>
        </a:p>
      </dgm:t>
    </dgm:pt>
    <dgm:pt modelId="{C87784E3-5252-43B1-B0A7-67C8C0163E42}" type="parTrans" cxnId="{AB55CB6A-488A-4BF7-B153-EFEF0B9AD41B}">
      <dgm:prSet/>
      <dgm:spPr/>
      <dgm:t>
        <a:bodyPr/>
        <a:lstStyle/>
        <a:p>
          <a:endParaRPr lang="fr-FR"/>
        </a:p>
      </dgm:t>
    </dgm:pt>
    <dgm:pt modelId="{747CE4CC-EBA5-4E8C-8F9A-7CA2437F71A3}" type="sibTrans" cxnId="{AB55CB6A-488A-4BF7-B153-EFEF0B9AD41B}">
      <dgm:prSet/>
      <dgm:spPr/>
      <dgm:t>
        <a:bodyPr/>
        <a:lstStyle/>
        <a:p>
          <a:endParaRPr lang="fr-FR"/>
        </a:p>
      </dgm:t>
    </dgm:pt>
    <dgm:pt modelId="{D8B51027-345D-4DC0-91E4-B5BC7F352A14}" type="pres">
      <dgm:prSet presAssocID="{683D197C-1096-419D-B774-2DB52EA14B2E}" presName="hierChild1" presStyleCnt="0">
        <dgm:presLayoutVars>
          <dgm:chPref val="1"/>
          <dgm:dir/>
          <dgm:animOne val="branch"/>
          <dgm:animLvl val="lvl"/>
          <dgm:resizeHandles/>
        </dgm:presLayoutVars>
      </dgm:prSet>
      <dgm:spPr/>
      <dgm:t>
        <a:bodyPr/>
        <a:lstStyle/>
        <a:p>
          <a:endParaRPr lang="fr-FR"/>
        </a:p>
      </dgm:t>
    </dgm:pt>
    <dgm:pt modelId="{B2EB0274-48F4-4749-B3D1-66C6FE0E5422}" type="pres">
      <dgm:prSet presAssocID="{325FD7F1-40DE-4096-B0D9-D8A4317F1764}" presName="hierRoot1" presStyleCnt="0"/>
      <dgm:spPr/>
    </dgm:pt>
    <dgm:pt modelId="{C4BEE79E-1FA7-4B2E-8747-79B85DEC0E29}" type="pres">
      <dgm:prSet presAssocID="{325FD7F1-40DE-4096-B0D9-D8A4317F1764}" presName="composite" presStyleCnt="0"/>
      <dgm:spPr/>
    </dgm:pt>
    <dgm:pt modelId="{70B47700-248E-4D51-B7E7-1B2E3C3A20DE}" type="pres">
      <dgm:prSet presAssocID="{325FD7F1-40DE-4096-B0D9-D8A4317F1764}" presName="background" presStyleLbl="node0" presStyleIdx="0" presStyleCnt="1"/>
      <dgm:spPr/>
    </dgm:pt>
    <dgm:pt modelId="{8A34B4E1-3F60-4FB4-B5BE-4FE7B59549F9}" type="pres">
      <dgm:prSet presAssocID="{325FD7F1-40DE-4096-B0D9-D8A4317F1764}" presName="text" presStyleLbl="fgAcc0" presStyleIdx="0" presStyleCnt="1" custScaleX="194115" custScaleY="54945" custLinFactNeighborY="-2244">
        <dgm:presLayoutVars>
          <dgm:chPref val="3"/>
        </dgm:presLayoutVars>
      </dgm:prSet>
      <dgm:spPr/>
      <dgm:t>
        <a:bodyPr/>
        <a:lstStyle/>
        <a:p>
          <a:endParaRPr lang="fr-FR"/>
        </a:p>
      </dgm:t>
    </dgm:pt>
    <dgm:pt modelId="{762E8591-206A-44F8-8B53-AD0F1975C63E}" type="pres">
      <dgm:prSet presAssocID="{325FD7F1-40DE-4096-B0D9-D8A4317F1764}" presName="hierChild2" presStyleCnt="0"/>
      <dgm:spPr/>
    </dgm:pt>
    <dgm:pt modelId="{F12C293F-EFB7-4D12-A842-EEEAC9AA06BC}" type="pres">
      <dgm:prSet presAssocID="{3B5F6721-8D5F-49C5-95F4-D46C3EE9F8A4}" presName="Name10" presStyleLbl="parChTrans1D2" presStyleIdx="0" presStyleCnt="1"/>
      <dgm:spPr/>
      <dgm:t>
        <a:bodyPr/>
        <a:lstStyle/>
        <a:p>
          <a:endParaRPr lang="fr-FR"/>
        </a:p>
      </dgm:t>
    </dgm:pt>
    <dgm:pt modelId="{BBC89030-917C-43A0-A161-C994CA7C0C33}" type="pres">
      <dgm:prSet presAssocID="{7E425BBF-4308-4E88-8F65-6BE02532BA50}" presName="hierRoot2" presStyleCnt="0"/>
      <dgm:spPr/>
    </dgm:pt>
    <dgm:pt modelId="{ED45B7A5-8E70-4D3D-A6DA-9EEE3C0D74AC}" type="pres">
      <dgm:prSet presAssocID="{7E425BBF-4308-4E88-8F65-6BE02532BA50}" presName="composite2" presStyleCnt="0"/>
      <dgm:spPr/>
    </dgm:pt>
    <dgm:pt modelId="{6FE883D2-6F57-4B8A-88D4-9FFC305492AC}" type="pres">
      <dgm:prSet presAssocID="{7E425BBF-4308-4E88-8F65-6BE02532BA50}" presName="background2" presStyleLbl="node2" presStyleIdx="0" presStyleCnt="1"/>
      <dgm:spPr/>
    </dgm:pt>
    <dgm:pt modelId="{3F5322C4-BE44-4E7B-9F7C-E35900066FD1}" type="pres">
      <dgm:prSet presAssocID="{7E425BBF-4308-4E88-8F65-6BE02532BA50}" presName="text2" presStyleLbl="fgAcc2" presStyleIdx="0" presStyleCnt="1" custScaleX="200488">
        <dgm:presLayoutVars>
          <dgm:chPref val="3"/>
        </dgm:presLayoutVars>
      </dgm:prSet>
      <dgm:spPr/>
      <dgm:t>
        <a:bodyPr/>
        <a:lstStyle/>
        <a:p>
          <a:endParaRPr lang="fr-FR"/>
        </a:p>
      </dgm:t>
    </dgm:pt>
    <dgm:pt modelId="{6FF61853-9A1C-4311-84DB-56706F8BD346}" type="pres">
      <dgm:prSet presAssocID="{7E425BBF-4308-4E88-8F65-6BE02532BA50}" presName="hierChild3" presStyleCnt="0"/>
      <dgm:spPr/>
    </dgm:pt>
    <dgm:pt modelId="{F98E7173-7B4B-47E6-9B37-1EFF272F0D3E}" type="pres">
      <dgm:prSet presAssocID="{DF4AC82D-1D8E-48DD-8DED-53EF249B2F1B}" presName="Name17" presStyleLbl="parChTrans1D3" presStyleIdx="0" presStyleCnt="2"/>
      <dgm:spPr/>
      <dgm:t>
        <a:bodyPr/>
        <a:lstStyle/>
        <a:p>
          <a:endParaRPr lang="fr-FR"/>
        </a:p>
      </dgm:t>
    </dgm:pt>
    <dgm:pt modelId="{827E0800-BF36-4D42-AE48-27F2D84D079D}" type="pres">
      <dgm:prSet presAssocID="{70F0AD67-5F8D-430C-AE23-886D8F0DCC8A}" presName="hierRoot3" presStyleCnt="0"/>
      <dgm:spPr/>
    </dgm:pt>
    <dgm:pt modelId="{D2532A81-B145-403C-AF84-9071261D487B}" type="pres">
      <dgm:prSet presAssocID="{70F0AD67-5F8D-430C-AE23-886D8F0DCC8A}" presName="composite3" presStyleCnt="0"/>
      <dgm:spPr/>
    </dgm:pt>
    <dgm:pt modelId="{059B8F6F-167B-425D-9662-85AB045505B4}" type="pres">
      <dgm:prSet presAssocID="{70F0AD67-5F8D-430C-AE23-886D8F0DCC8A}" presName="background3" presStyleLbl="node3" presStyleIdx="0" presStyleCnt="2"/>
      <dgm:spPr/>
    </dgm:pt>
    <dgm:pt modelId="{4EB60954-A1C2-4CCA-89F0-0D20C3826282}" type="pres">
      <dgm:prSet presAssocID="{70F0AD67-5F8D-430C-AE23-886D8F0DCC8A}" presName="text3" presStyleLbl="fgAcc3" presStyleIdx="0" presStyleCnt="2" custScaleX="237886">
        <dgm:presLayoutVars>
          <dgm:chPref val="3"/>
        </dgm:presLayoutVars>
      </dgm:prSet>
      <dgm:spPr/>
      <dgm:t>
        <a:bodyPr/>
        <a:lstStyle/>
        <a:p>
          <a:endParaRPr lang="fr-FR"/>
        </a:p>
      </dgm:t>
    </dgm:pt>
    <dgm:pt modelId="{C7CC12A8-7D44-4012-81AC-A7552D6121CB}" type="pres">
      <dgm:prSet presAssocID="{70F0AD67-5F8D-430C-AE23-886D8F0DCC8A}" presName="hierChild4" presStyleCnt="0"/>
      <dgm:spPr/>
    </dgm:pt>
    <dgm:pt modelId="{B01E7E20-5E28-44A8-9E73-80E1CE1EF4F3}" type="pres">
      <dgm:prSet presAssocID="{871E7E82-8951-4B63-8D0C-3B13BCD56446}" presName="Name17" presStyleLbl="parChTrans1D3" presStyleIdx="1" presStyleCnt="2"/>
      <dgm:spPr/>
      <dgm:t>
        <a:bodyPr/>
        <a:lstStyle/>
        <a:p>
          <a:endParaRPr lang="fr-FR"/>
        </a:p>
      </dgm:t>
    </dgm:pt>
    <dgm:pt modelId="{AA06694D-826C-422C-9133-65F0CECFEF17}" type="pres">
      <dgm:prSet presAssocID="{24B318D1-36B4-40F8-B070-B6B61D458A14}" presName="hierRoot3" presStyleCnt="0"/>
      <dgm:spPr/>
    </dgm:pt>
    <dgm:pt modelId="{17F551A1-86EA-49A5-9380-1554869BF67B}" type="pres">
      <dgm:prSet presAssocID="{24B318D1-36B4-40F8-B070-B6B61D458A14}" presName="composite3" presStyleCnt="0"/>
      <dgm:spPr/>
    </dgm:pt>
    <dgm:pt modelId="{8C1E4334-F077-4811-BF83-F5A94BB7236D}" type="pres">
      <dgm:prSet presAssocID="{24B318D1-36B4-40F8-B070-B6B61D458A14}" presName="background3" presStyleLbl="node3" presStyleIdx="1" presStyleCnt="2"/>
      <dgm:spPr/>
    </dgm:pt>
    <dgm:pt modelId="{E361BD21-D540-4428-9219-E48EF2C5BCEC}" type="pres">
      <dgm:prSet presAssocID="{24B318D1-36B4-40F8-B070-B6B61D458A14}" presName="text3" presStyleLbl="fgAcc3" presStyleIdx="1" presStyleCnt="2">
        <dgm:presLayoutVars>
          <dgm:chPref val="3"/>
        </dgm:presLayoutVars>
      </dgm:prSet>
      <dgm:spPr/>
      <dgm:t>
        <a:bodyPr/>
        <a:lstStyle/>
        <a:p>
          <a:endParaRPr lang="fr-FR"/>
        </a:p>
      </dgm:t>
    </dgm:pt>
    <dgm:pt modelId="{7D030613-CEE3-46F3-BD5D-8FB47F2F28B5}" type="pres">
      <dgm:prSet presAssocID="{24B318D1-36B4-40F8-B070-B6B61D458A14}" presName="hierChild4" presStyleCnt="0"/>
      <dgm:spPr/>
    </dgm:pt>
  </dgm:ptLst>
  <dgm:cxnLst>
    <dgm:cxn modelId="{0FE0FEF1-271E-4DCC-A14E-84930BE3E536}" type="presOf" srcId="{7E425BBF-4308-4E88-8F65-6BE02532BA50}" destId="{3F5322C4-BE44-4E7B-9F7C-E35900066FD1}" srcOrd="0" destOrd="0" presId="urn:microsoft.com/office/officeart/2005/8/layout/hierarchy1"/>
    <dgm:cxn modelId="{796E6AC0-ACF5-4FCD-AC9A-BD0604BE01B3}" srcId="{7E425BBF-4308-4E88-8F65-6BE02532BA50}" destId="{24B318D1-36B4-40F8-B070-B6B61D458A14}" srcOrd="1" destOrd="0" parTransId="{871E7E82-8951-4B63-8D0C-3B13BCD56446}" sibTransId="{71E95AAD-F9BE-402A-8B70-56B6D9F2806F}"/>
    <dgm:cxn modelId="{D61D552C-A359-4C50-A85C-5EF02B9109A2}" srcId="{7E425BBF-4308-4E88-8F65-6BE02532BA50}" destId="{70F0AD67-5F8D-430C-AE23-886D8F0DCC8A}" srcOrd="0" destOrd="0" parTransId="{DF4AC82D-1D8E-48DD-8DED-53EF249B2F1B}" sibTransId="{397FC598-7D14-46AD-BEBE-FDF4A4368540}"/>
    <dgm:cxn modelId="{FDE2C2EE-A0AA-4602-9F9E-1ABD825C8370}" srcId="{325FD7F1-40DE-4096-B0D9-D8A4317F1764}" destId="{7E425BBF-4308-4E88-8F65-6BE02532BA50}" srcOrd="0" destOrd="0" parTransId="{3B5F6721-8D5F-49C5-95F4-D46C3EE9F8A4}" sibTransId="{35C58FC1-5A38-4E79-94B3-2F946E312C96}"/>
    <dgm:cxn modelId="{39983A7B-9733-4A8C-BCBA-D9B47D7FE52B}" type="presOf" srcId="{DF4AC82D-1D8E-48DD-8DED-53EF249B2F1B}" destId="{F98E7173-7B4B-47E6-9B37-1EFF272F0D3E}" srcOrd="0" destOrd="0" presId="urn:microsoft.com/office/officeart/2005/8/layout/hierarchy1"/>
    <dgm:cxn modelId="{AB55CB6A-488A-4BF7-B153-EFEF0B9AD41B}" srcId="{683D197C-1096-419D-B774-2DB52EA14B2E}" destId="{325FD7F1-40DE-4096-B0D9-D8A4317F1764}" srcOrd="0" destOrd="0" parTransId="{C87784E3-5252-43B1-B0A7-67C8C0163E42}" sibTransId="{747CE4CC-EBA5-4E8C-8F9A-7CA2437F71A3}"/>
    <dgm:cxn modelId="{2233DE90-BCB9-43D2-89D8-6B6E1317415D}" type="presOf" srcId="{871E7E82-8951-4B63-8D0C-3B13BCD56446}" destId="{B01E7E20-5E28-44A8-9E73-80E1CE1EF4F3}" srcOrd="0" destOrd="0" presId="urn:microsoft.com/office/officeart/2005/8/layout/hierarchy1"/>
    <dgm:cxn modelId="{9BFF8EB5-98A5-4491-A1DF-D9733C6730FE}" type="presOf" srcId="{3B5F6721-8D5F-49C5-95F4-D46C3EE9F8A4}" destId="{F12C293F-EFB7-4D12-A842-EEEAC9AA06BC}" srcOrd="0" destOrd="0" presId="urn:microsoft.com/office/officeart/2005/8/layout/hierarchy1"/>
    <dgm:cxn modelId="{4B20ECBD-F960-4095-97EC-1CA42EA1CFD6}" type="presOf" srcId="{24B318D1-36B4-40F8-B070-B6B61D458A14}" destId="{E361BD21-D540-4428-9219-E48EF2C5BCEC}" srcOrd="0" destOrd="0" presId="urn:microsoft.com/office/officeart/2005/8/layout/hierarchy1"/>
    <dgm:cxn modelId="{8C0D60D1-57F0-48AF-9976-CB5A6AE35E49}" type="presOf" srcId="{683D197C-1096-419D-B774-2DB52EA14B2E}" destId="{D8B51027-345D-4DC0-91E4-B5BC7F352A14}" srcOrd="0" destOrd="0" presId="urn:microsoft.com/office/officeart/2005/8/layout/hierarchy1"/>
    <dgm:cxn modelId="{051D0246-AA2C-42AA-8A0F-8EF69B267624}" type="presOf" srcId="{70F0AD67-5F8D-430C-AE23-886D8F0DCC8A}" destId="{4EB60954-A1C2-4CCA-89F0-0D20C3826282}" srcOrd="0" destOrd="0" presId="urn:microsoft.com/office/officeart/2005/8/layout/hierarchy1"/>
    <dgm:cxn modelId="{6585AE6E-11FB-49A8-9356-55BCB3F74BCC}" type="presOf" srcId="{325FD7F1-40DE-4096-B0D9-D8A4317F1764}" destId="{8A34B4E1-3F60-4FB4-B5BE-4FE7B59549F9}" srcOrd="0" destOrd="0" presId="urn:microsoft.com/office/officeart/2005/8/layout/hierarchy1"/>
    <dgm:cxn modelId="{9084FB34-7264-4DBF-929A-32DA058EACBE}" type="presParOf" srcId="{D8B51027-345D-4DC0-91E4-B5BC7F352A14}" destId="{B2EB0274-48F4-4749-B3D1-66C6FE0E5422}" srcOrd="0" destOrd="0" presId="urn:microsoft.com/office/officeart/2005/8/layout/hierarchy1"/>
    <dgm:cxn modelId="{48842DF1-6118-476D-88D4-DE95CB5B846B}" type="presParOf" srcId="{B2EB0274-48F4-4749-B3D1-66C6FE0E5422}" destId="{C4BEE79E-1FA7-4B2E-8747-79B85DEC0E29}" srcOrd="0" destOrd="0" presId="urn:microsoft.com/office/officeart/2005/8/layout/hierarchy1"/>
    <dgm:cxn modelId="{24F34DC9-A834-47BE-B652-29223D1BC033}" type="presParOf" srcId="{C4BEE79E-1FA7-4B2E-8747-79B85DEC0E29}" destId="{70B47700-248E-4D51-B7E7-1B2E3C3A20DE}" srcOrd="0" destOrd="0" presId="urn:microsoft.com/office/officeart/2005/8/layout/hierarchy1"/>
    <dgm:cxn modelId="{D4F0BCDE-1619-4BA0-B933-A29222017102}" type="presParOf" srcId="{C4BEE79E-1FA7-4B2E-8747-79B85DEC0E29}" destId="{8A34B4E1-3F60-4FB4-B5BE-4FE7B59549F9}" srcOrd="1" destOrd="0" presId="urn:microsoft.com/office/officeart/2005/8/layout/hierarchy1"/>
    <dgm:cxn modelId="{6ADAFD48-335B-466B-81D8-DAFAEFB822F5}" type="presParOf" srcId="{B2EB0274-48F4-4749-B3D1-66C6FE0E5422}" destId="{762E8591-206A-44F8-8B53-AD0F1975C63E}" srcOrd="1" destOrd="0" presId="urn:microsoft.com/office/officeart/2005/8/layout/hierarchy1"/>
    <dgm:cxn modelId="{FA61B482-36B9-4C16-B987-E64EF4DA01CF}" type="presParOf" srcId="{762E8591-206A-44F8-8B53-AD0F1975C63E}" destId="{F12C293F-EFB7-4D12-A842-EEEAC9AA06BC}" srcOrd="0" destOrd="0" presId="urn:microsoft.com/office/officeart/2005/8/layout/hierarchy1"/>
    <dgm:cxn modelId="{04F73EC0-5784-49C3-B461-9507E1E2F913}" type="presParOf" srcId="{762E8591-206A-44F8-8B53-AD0F1975C63E}" destId="{BBC89030-917C-43A0-A161-C994CA7C0C33}" srcOrd="1" destOrd="0" presId="urn:microsoft.com/office/officeart/2005/8/layout/hierarchy1"/>
    <dgm:cxn modelId="{50D043B3-1BBF-4496-BA69-D67C0C44E430}" type="presParOf" srcId="{BBC89030-917C-43A0-A161-C994CA7C0C33}" destId="{ED45B7A5-8E70-4D3D-A6DA-9EEE3C0D74AC}" srcOrd="0" destOrd="0" presId="urn:microsoft.com/office/officeart/2005/8/layout/hierarchy1"/>
    <dgm:cxn modelId="{7116D46A-BFBB-4F0D-A011-DAC6D2525706}" type="presParOf" srcId="{ED45B7A5-8E70-4D3D-A6DA-9EEE3C0D74AC}" destId="{6FE883D2-6F57-4B8A-88D4-9FFC305492AC}" srcOrd="0" destOrd="0" presId="urn:microsoft.com/office/officeart/2005/8/layout/hierarchy1"/>
    <dgm:cxn modelId="{D04B6BB7-B17B-4DF2-BE39-271093B3493F}" type="presParOf" srcId="{ED45B7A5-8E70-4D3D-A6DA-9EEE3C0D74AC}" destId="{3F5322C4-BE44-4E7B-9F7C-E35900066FD1}" srcOrd="1" destOrd="0" presId="urn:microsoft.com/office/officeart/2005/8/layout/hierarchy1"/>
    <dgm:cxn modelId="{188E8466-697E-408E-941C-3E97F516FE87}" type="presParOf" srcId="{BBC89030-917C-43A0-A161-C994CA7C0C33}" destId="{6FF61853-9A1C-4311-84DB-56706F8BD346}" srcOrd="1" destOrd="0" presId="urn:microsoft.com/office/officeart/2005/8/layout/hierarchy1"/>
    <dgm:cxn modelId="{1C2E3BB5-F341-41CA-A467-BFCE3BED095F}" type="presParOf" srcId="{6FF61853-9A1C-4311-84DB-56706F8BD346}" destId="{F98E7173-7B4B-47E6-9B37-1EFF272F0D3E}" srcOrd="0" destOrd="0" presId="urn:microsoft.com/office/officeart/2005/8/layout/hierarchy1"/>
    <dgm:cxn modelId="{CF14DF73-D13C-4933-B0FE-2D39BD1C9DED}" type="presParOf" srcId="{6FF61853-9A1C-4311-84DB-56706F8BD346}" destId="{827E0800-BF36-4D42-AE48-27F2D84D079D}" srcOrd="1" destOrd="0" presId="urn:microsoft.com/office/officeart/2005/8/layout/hierarchy1"/>
    <dgm:cxn modelId="{D1FFD7AA-57EF-4474-98B9-7349A7A22B40}" type="presParOf" srcId="{827E0800-BF36-4D42-AE48-27F2D84D079D}" destId="{D2532A81-B145-403C-AF84-9071261D487B}" srcOrd="0" destOrd="0" presId="urn:microsoft.com/office/officeart/2005/8/layout/hierarchy1"/>
    <dgm:cxn modelId="{E8DE679F-8281-4D47-851A-BBA4AFC20FBC}" type="presParOf" srcId="{D2532A81-B145-403C-AF84-9071261D487B}" destId="{059B8F6F-167B-425D-9662-85AB045505B4}" srcOrd="0" destOrd="0" presId="urn:microsoft.com/office/officeart/2005/8/layout/hierarchy1"/>
    <dgm:cxn modelId="{3B12ED7A-0A75-49D4-92F2-45480832FAB8}" type="presParOf" srcId="{D2532A81-B145-403C-AF84-9071261D487B}" destId="{4EB60954-A1C2-4CCA-89F0-0D20C3826282}" srcOrd="1" destOrd="0" presId="urn:microsoft.com/office/officeart/2005/8/layout/hierarchy1"/>
    <dgm:cxn modelId="{374126C6-0D55-43E8-8E35-AB7988FFF8CC}" type="presParOf" srcId="{827E0800-BF36-4D42-AE48-27F2D84D079D}" destId="{C7CC12A8-7D44-4012-81AC-A7552D6121CB}" srcOrd="1" destOrd="0" presId="urn:microsoft.com/office/officeart/2005/8/layout/hierarchy1"/>
    <dgm:cxn modelId="{197D2D21-8359-44DF-BC35-19787E5FAAEE}" type="presParOf" srcId="{6FF61853-9A1C-4311-84DB-56706F8BD346}" destId="{B01E7E20-5E28-44A8-9E73-80E1CE1EF4F3}" srcOrd="2" destOrd="0" presId="urn:microsoft.com/office/officeart/2005/8/layout/hierarchy1"/>
    <dgm:cxn modelId="{6274D4CB-0C37-4730-98BD-BF1BF37892B4}" type="presParOf" srcId="{6FF61853-9A1C-4311-84DB-56706F8BD346}" destId="{AA06694D-826C-422C-9133-65F0CECFEF17}" srcOrd="3" destOrd="0" presId="urn:microsoft.com/office/officeart/2005/8/layout/hierarchy1"/>
    <dgm:cxn modelId="{F3F62D64-DD93-4216-AD08-3B9ECF731961}" type="presParOf" srcId="{AA06694D-826C-422C-9133-65F0CECFEF17}" destId="{17F551A1-86EA-49A5-9380-1554869BF67B}" srcOrd="0" destOrd="0" presId="urn:microsoft.com/office/officeart/2005/8/layout/hierarchy1"/>
    <dgm:cxn modelId="{7FC90EAF-E572-4C97-9BC1-1203A485C3B4}" type="presParOf" srcId="{17F551A1-86EA-49A5-9380-1554869BF67B}" destId="{8C1E4334-F077-4811-BF83-F5A94BB7236D}" srcOrd="0" destOrd="0" presId="urn:microsoft.com/office/officeart/2005/8/layout/hierarchy1"/>
    <dgm:cxn modelId="{BD6E591E-9629-44DB-BFDB-8B1A651CF75A}" type="presParOf" srcId="{17F551A1-86EA-49A5-9380-1554869BF67B}" destId="{E361BD21-D540-4428-9219-E48EF2C5BCEC}" srcOrd="1" destOrd="0" presId="urn:microsoft.com/office/officeart/2005/8/layout/hierarchy1"/>
    <dgm:cxn modelId="{4CCD4461-12EA-4AE5-830D-0B2B423E2438}" type="presParOf" srcId="{AA06694D-826C-422C-9133-65F0CECFEF17}" destId="{7D030613-CEE3-46F3-BD5D-8FB47F2F28B5}"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AAA7EC12BFC4F0D8EE63F6B012DABAD"/>
        <w:category>
          <w:name w:val="Général"/>
          <w:gallery w:val="placeholder"/>
        </w:category>
        <w:types>
          <w:type w:val="bbPlcHdr"/>
        </w:types>
        <w:behaviors>
          <w:behavior w:val="content"/>
        </w:behaviors>
        <w:guid w:val="{347D69FF-EC8C-468B-AD2C-496221C40DA7}"/>
      </w:docPartPr>
      <w:docPartBody>
        <w:p w:rsidR="00796A3C" w:rsidRDefault="006E4D27" w:rsidP="006E4D27">
          <w:pPr>
            <w:pStyle w:val="FAAA7EC12BFC4F0D8EE63F6B012DABAD"/>
          </w:pPr>
          <w:r>
            <w:t>[Tapez le titre du document]</w:t>
          </w:r>
        </w:p>
      </w:docPartBody>
    </w:docPart>
    <w:docPart>
      <w:docPartPr>
        <w:name w:val="023D9F5392D44E2AB41C8FA3705DABF6"/>
        <w:category>
          <w:name w:val="Général"/>
          <w:gallery w:val="placeholder"/>
        </w:category>
        <w:types>
          <w:type w:val="bbPlcHdr"/>
        </w:types>
        <w:behaviors>
          <w:behavior w:val="content"/>
        </w:behaviors>
        <w:guid w:val="{93324D5E-7026-4962-82CB-B43C22DA8731}"/>
      </w:docPartPr>
      <w:docPartBody>
        <w:p w:rsidR="00796A3C" w:rsidRDefault="006E4D27" w:rsidP="006E4D27">
          <w:pPr>
            <w:pStyle w:val="023D9F5392D44E2AB41C8FA3705DABF6"/>
          </w:pPr>
          <w:r>
            <w:t>[Sélectionnez la date]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E4D27"/>
    <w:rsid w:val="00331EA9"/>
    <w:rsid w:val="005F1F59"/>
    <w:rsid w:val="006E4D27"/>
    <w:rsid w:val="00796A3C"/>
    <w:rsid w:val="00AC70BC"/>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A3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AAA7EC12BFC4F0D8EE63F6B012DABAD">
    <w:name w:val="FAAA7EC12BFC4F0D8EE63F6B012DABAD"/>
    <w:rsid w:val="006E4D27"/>
  </w:style>
  <w:style w:type="paragraph" w:customStyle="1" w:styleId="023D9F5392D44E2AB41C8FA3705DABF6">
    <w:name w:val="023D9F5392D44E2AB41C8FA3705DABF6"/>
    <w:rsid w:val="006E4D2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2014/2015</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5482</TotalTime>
  <Pages>9</Pages>
  <Words>1873</Words>
  <Characters>10303</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Laboratoire de phamacognosie                                                                                                                       Dr Sahraoui</vt:lpstr>
    </vt:vector>
  </TitlesOfParts>
  <Company>Unicornis</Company>
  <LinksUpToDate>false</LinksUpToDate>
  <CharactersWithSpaces>12152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Laboratoire de phamacognosie                                                                                                                       Dr Sahraoui</dc:title>
  <dc:subject/>
  <dc:creator>Unicornis</dc:creator>
  <cp:keywords/>
  <dc:description/>
  <cp:lastModifiedBy>Start</cp:lastModifiedBy>
  <cp:revision>2</cp:revision>
  <dcterms:created xsi:type="dcterms:W3CDTF">2012-04-10T09:29:00Z</dcterms:created>
  <dcterms:modified xsi:type="dcterms:W3CDTF">2015-03-15T20:42:00Z</dcterms:modified>
</cp:coreProperties>
</file>